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10,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LIGHT &amp; WONDER,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001-11693</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81-0422894</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00" w:space="720"/>
            <w:col w:w="3380" w:space="720"/>
            <w:col w:w="2520"/>
          </w:cols>
          <w:pgMar w:left="320" w:top="754" w:right="339" w:bottom="1440" w:gutter="0" w:footer="0" w:header="0"/>
          <w:type w:val="continuous"/>
        </w:sectPr>
      </w:pPr>
    </w:p>
    <w:p>
      <w:pPr>
        <w:spacing w:after="0" w:line="14"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6601 Bermuda Road, Las Vegas, NV 89119</w:t>
      </w:r>
    </w:p>
    <w:p>
      <w:pPr>
        <w:spacing w:after="0" w:line="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(Address of registrant’s principal executive office)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(702) 897-7150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p>
      <w:pPr>
        <w:spacing w:after="0" w:line="200" w:lineRule="exact"/>
        <w:rPr>
          <w:sz w:val="24"/>
          <w:szCs w:val="24"/>
          <w:color w:val="auto"/>
        </w:rPr>
      </w:pPr>
    </w:p>
    <w:p>
      <w:pPr>
        <w:spacing w:after="0" w:line="36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tbl>
      <w:tblPr>
        <w:tblLayout w:type="fixed"/>
        <w:tblInd w:w="10" w:type="dxa"/>
        <w:tblCellMar>
          <w:top w:w="0" w:type="dxa"/>
          <w:left w:w="0" w:type="dxa"/>
          <w:bottom w:w="0" w:type="dxa"/>
          <w:right w:w="0" w:type="dxa"/>
        </w:tblCellMar>
      </w:tblPr>
      <w:tr>
        <w:trPr>
          <w:trHeight w:val="192"/>
        </w:trPr>
        <w:tc>
          <w:tcPr>
            <w:tcW w:w="3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tcBorders>
              <w:top w:val="single" w:sz="8" w:color="auto"/>
            </w:tcBorders>
          </w:tcPr>
          <w:p>
            <w:pPr>
              <w:spacing w:after="0"/>
              <w:rPr>
                <w:sz w:val="16"/>
                <w:szCs w:val="16"/>
                <w:color w:val="auto"/>
              </w:rPr>
            </w:pPr>
          </w:p>
        </w:tc>
        <w:tc>
          <w:tcPr>
            <w:tcW w:w="2980" w:type="dxa"/>
            <w:vAlign w:val="bottom"/>
            <w:tcBorders>
              <w:top w:val="single" w:sz="8" w:color="auto"/>
              <w:right w:val="single" w:sz="8" w:color="auto"/>
            </w:tcBorders>
            <w:vMerge w:val="restart"/>
          </w:tcPr>
          <w:p>
            <w:pPr>
              <w:jc w:val="center"/>
              <w:ind w:right="75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w:t>
            </w:r>
          </w:p>
        </w:tc>
        <w:tc>
          <w:tcPr>
            <w:tcW w:w="0" w:type="dxa"/>
            <w:vAlign w:val="bottom"/>
          </w:tcPr>
          <w:p>
            <w:pPr>
              <w:spacing w:after="0"/>
              <w:rPr>
                <w:sz w:val="1"/>
                <w:szCs w:val="1"/>
                <w:color w:val="auto"/>
              </w:rPr>
            </w:pPr>
          </w:p>
        </w:tc>
      </w:tr>
      <w:tr>
        <w:trPr>
          <w:trHeight w:val="126"/>
        </w:trPr>
        <w:tc>
          <w:tcPr>
            <w:tcW w:w="3740" w:type="dxa"/>
            <w:vAlign w:val="bottom"/>
            <w:tcBorders>
              <w:left w:val="single" w:sz="8" w:color="auto"/>
              <w:right w:val="single" w:sz="8" w:color="auto"/>
            </w:tcBorders>
            <w:vMerge w:val="continue"/>
          </w:tcPr>
          <w:p>
            <w:pPr>
              <w:spacing w:after="0"/>
              <w:rPr>
                <w:sz w:val="10"/>
                <w:szCs w:val="10"/>
                <w:color w:val="auto"/>
              </w:rPr>
            </w:pPr>
          </w:p>
        </w:tc>
        <w:tc>
          <w:tcPr>
            <w:tcW w:w="820" w:type="dxa"/>
            <w:vAlign w:val="bottom"/>
          </w:tcPr>
          <w:p>
            <w:pPr>
              <w:spacing w:after="0"/>
              <w:rPr>
                <w:sz w:val="10"/>
                <w:szCs w:val="10"/>
                <w:color w:val="auto"/>
              </w:rPr>
            </w:pPr>
          </w:p>
        </w:tc>
        <w:tc>
          <w:tcPr>
            <w:tcW w:w="2980" w:type="dxa"/>
            <w:vAlign w:val="bottom"/>
            <w:tcBorders>
              <w:right w:val="single" w:sz="8" w:color="auto"/>
            </w:tcBorders>
            <w:vMerge w:val="continue"/>
          </w:tcPr>
          <w:p>
            <w:pPr>
              <w:spacing w:after="0"/>
              <w:rPr>
                <w:sz w:val="10"/>
                <w:szCs w:val="10"/>
                <w:color w:val="auto"/>
              </w:rPr>
            </w:pPr>
          </w:p>
        </w:tc>
        <w:tc>
          <w:tcPr>
            <w:tcW w:w="3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c>
          <w:tcPr>
            <w:tcW w:w="0" w:type="dxa"/>
            <w:vAlign w:val="bottom"/>
          </w:tcPr>
          <w:p>
            <w:pPr>
              <w:spacing w:after="0"/>
              <w:rPr>
                <w:sz w:val="1"/>
                <w:szCs w:val="1"/>
                <w:color w:val="auto"/>
              </w:rPr>
            </w:pPr>
          </w:p>
        </w:tc>
      </w:tr>
      <w:tr>
        <w:trPr>
          <w:trHeight w:val="108"/>
        </w:trPr>
        <w:tc>
          <w:tcPr>
            <w:tcW w:w="3740" w:type="dxa"/>
            <w:vAlign w:val="bottom"/>
            <w:tcBorders>
              <w:left w:val="single" w:sz="8" w:color="auto"/>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820" w:type="dxa"/>
            <w:vAlign w:val="bottom"/>
            <w:tcBorders>
              <w:bottom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0" w:type="dxa"/>
            <w:vAlign w:val="bottom"/>
          </w:tcPr>
          <w:p>
            <w:pPr>
              <w:spacing w:after="0"/>
              <w:rPr>
                <w:sz w:val="1"/>
                <w:szCs w:val="1"/>
                <w:color w:val="auto"/>
              </w:rPr>
            </w:pPr>
          </w:p>
        </w:tc>
      </w:tr>
      <w:tr>
        <w:trPr>
          <w:trHeight w:val="425"/>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tc>
        <w:tc>
          <w:tcPr>
            <w:tcW w:w="29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137160</wp:posOffset>
            </wp:positionV>
            <wp:extent cx="249428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88595"/>
                    </a:xfrm>
                    <a:prstGeom prst="rect">
                      <a:avLst/>
                    </a:prstGeom>
                    <a:noFill/>
                  </pic:spPr>
                </pic:pic>
              </a:graphicData>
            </a:graphic>
          </wp:anchor>
        </w:drawing>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jc w:val="right"/>
        <w:spacing w:after="0" w:line="207" w:lineRule="exact"/>
        <w:tabs>
          <w:tab w:leader="none" w:pos="19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Emerging growth company</w:t>
      </w:r>
    </w:p>
    <w:p>
      <w:pPr>
        <w:spacing w:after="0" w:line="266" w:lineRule="exact"/>
        <w:rPr>
          <w:sz w:val="24"/>
          <w:szCs w:val="24"/>
          <w:color w:val="auto"/>
        </w:rPr>
      </w:pPr>
    </w:p>
    <w:p>
      <w:pPr>
        <w:ind w:right="260" w:firstLine="8"/>
        <w:spacing w:after="0" w:line="282" w:lineRule="auto"/>
        <w:tabs>
          <w:tab w:leader="none" w:pos="2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June 10, 2026, Light &amp; Wonder, Inc. (the “Company”) held its annual meeting of stockholders.</w:t>
      </w:r>
    </w:p>
    <w:p>
      <w:pPr>
        <w:spacing w:after="0" w:line="22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At the annual meeting, the Company’s stockholders: (1) elected all of the Company’s nominees for members of the Board of Directors of the Company to serve for the ensuing year and until their respective successors are duly elected and qualified; (2) approved, on an advisory basis, the compensation of the Company’s named executive officers; (3) approved 2026 long-term incentive equity grants to the Company’s director-CEO pursuant to and in accordance with the Australian Securities Exchange (the “ASX”) Listing Rule 10.14; (4) approved the aggregate annual amount that may be paid or granted as the Company’s non-employee director compensation (cash and equity) pursuant to and in accordance with ASX Listing Rule 10.17; and (5) ratified the appointment of Deloitte &amp; Touche LLP as the Company’s independent registered public accounting firm for the fiscal year ending December 31, 2026. The proposals are further described in the Company’s definitive proxy statement on Schedule 14A, filed with the U.S. Securities and Exchange Commission on April 30, 2026.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voting results are as follows:</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tc>
        <w:tc>
          <w:tcPr>
            <w:tcW w:w="186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0" w:type="dxa"/>
            <w:vAlign w:val="bottom"/>
            <w:vMerge w:val="restart"/>
          </w:tcPr>
          <w:p>
            <w:pPr>
              <w:spacing w:after="0"/>
              <w:rPr>
                <w:sz w:val="24"/>
                <w:szCs w:val="24"/>
                <w:color w:val="auto"/>
              </w:rPr>
            </w:pPr>
          </w:p>
        </w:tc>
        <w:tc>
          <w:tcPr>
            <w:tcW w:w="16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0" w:type="dxa"/>
            <w:vAlign w:val="bottom"/>
            <w:vMerge w:val="restart"/>
          </w:tcPr>
          <w:p>
            <w:pPr>
              <w:spacing w:after="0"/>
              <w:rPr>
                <w:sz w:val="24"/>
                <w:szCs w:val="24"/>
                <w:color w:val="auto"/>
              </w:rPr>
            </w:pPr>
          </w:p>
        </w:tc>
        <w:tc>
          <w:tcPr>
            <w:tcW w:w="306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80" w:type="dxa"/>
            <w:vAlign w:val="bottom"/>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0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Jamie R. Odell</w:t>
            </w:r>
          </w:p>
        </w:tc>
        <w:tc>
          <w:tcPr>
            <w:tcW w:w="2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50,002,185</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2,136,534</w:t>
            </w:r>
          </w:p>
        </w:tc>
        <w:tc>
          <w:tcPr>
            <w:tcW w:w="3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1,879,973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Matthew R. Wilson</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51,916,607</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222,112</w:t>
            </w:r>
          </w:p>
        </w:tc>
        <w:tc>
          <w:tcPr>
            <w:tcW w:w="3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1,879,973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Antonia Korsanos</w:t>
            </w:r>
          </w:p>
        </w:tc>
        <w:tc>
          <w:tcPr>
            <w:tcW w:w="2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50,961,176</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1,177,543</w:t>
            </w:r>
          </w:p>
        </w:tc>
        <w:tc>
          <w:tcPr>
            <w:tcW w:w="3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1,879,973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Michael Marchetti</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51,912,647</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226,072</w:t>
            </w:r>
          </w:p>
        </w:tc>
        <w:tc>
          <w:tcPr>
            <w:tcW w:w="3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1,879,973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Hamish R. McLennan</w:t>
            </w:r>
          </w:p>
        </w:tc>
        <w:tc>
          <w:tcPr>
            <w:tcW w:w="2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45,552,916</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6,585,803</w:t>
            </w:r>
          </w:p>
        </w:tc>
        <w:tc>
          <w:tcPr>
            <w:tcW w:w="3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1,879,973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Stephen Morro</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51,913,623</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225,096</w:t>
            </w:r>
          </w:p>
        </w:tc>
        <w:tc>
          <w:tcPr>
            <w:tcW w:w="3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1,879,973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E. Shanks</w:t>
            </w:r>
          </w:p>
        </w:tc>
        <w:tc>
          <w:tcPr>
            <w:tcW w:w="2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51,917,023</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221,696</w:t>
            </w:r>
          </w:p>
        </w:tc>
        <w:tc>
          <w:tcPr>
            <w:tcW w:w="3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1,879,973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Timothy Throsby</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51,844,937</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293,782</w:t>
            </w:r>
          </w:p>
        </w:tc>
        <w:tc>
          <w:tcPr>
            <w:tcW w:w="3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1,879,973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Kneeland C. Youngblood</w:t>
            </w:r>
          </w:p>
        </w:tc>
        <w:tc>
          <w:tcPr>
            <w:tcW w:w="2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46,817,488</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5,321,231</w:t>
            </w:r>
          </w:p>
        </w:tc>
        <w:tc>
          <w:tcPr>
            <w:tcW w:w="3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1,879,973</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Approval, on an Advisory Basis, of the Compensation of the Company’s Named Executive Officers</w:t>
            </w:r>
          </w:p>
        </w:tc>
        <w:tc>
          <w:tcPr>
            <w:tcW w:w="2800" w:type="dxa"/>
            <w:vAlign w:val="bottom"/>
          </w:tcPr>
          <w:p>
            <w:pPr>
              <w:spacing w:after="0"/>
              <w:rPr>
                <w:sz w:val="20"/>
                <w:szCs w:val="20"/>
                <w:color w:val="auto"/>
              </w:rPr>
            </w:pPr>
          </w:p>
        </w:tc>
      </w:tr>
      <w:tr>
        <w:trPr>
          <w:trHeight w:val="445"/>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48,053,880</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3,941,357</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143,482</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1,879,973</w:t>
            </w:r>
          </w:p>
        </w:tc>
      </w:tr>
    </w:tbl>
    <w:p>
      <w:pPr>
        <w:spacing w:after="0" w:line="1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3: Approval of 2026 Long-Term Incentive Equity Grants to the Company’s Director-CEO Pursuant to and in Accordance with ASX Listing Rule 10.14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48,066,016</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3,904,727</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167,976</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1,879,973</w:t>
            </w:r>
          </w:p>
        </w:tc>
      </w:tr>
    </w:tbl>
    <w:p>
      <w:pPr>
        <w:spacing w:after="0" w:line="19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4: Approval of the Aggregate Annual Amount that May Be Paid or Granted as the Company’s Non-Employee Director Compensation (Cash and Equity) Pursuant to and in Accordance with ASX Listing Rule 10.17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41,382,945</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10,484,486</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177,790</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1,879,973</w:t>
            </w:r>
          </w:p>
        </w:tc>
      </w:tr>
    </w:tbl>
    <w:p>
      <w:pPr>
        <w:spacing w:after="0" w:line="19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5: Ratification of the Appointment of Deloitte &amp; Touche LLP as the Company’s Independent Registered Public Accounting Firm for the Fiscal Year Ending December 31, 2026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80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72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50,325,283</w:t>
            </w:r>
          </w:p>
        </w:tc>
        <w:tc>
          <w:tcPr>
            <w:tcW w:w="1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3,530,235</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163,174</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LIGHT &amp; WONDER,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 /s/ Susan Dawson</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jc w:val="right"/>
        <w:spacing w:after="0"/>
        <w:tabs>
          <w:tab w:leader="none" w:pos="4380" w:val="left"/>
        </w:tabs>
        <w:rPr>
          <w:sz w:val="20"/>
          <w:szCs w:val="20"/>
          <w:color w:val="auto"/>
        </w:rPr>
      </w:pPr>
      <w:r>
        <w:rPr>
          <w:rFonts w:ascii="Times New Roman" w:cs="Times New Roman" w:eastAsia="Times New Roman" w:hAnsi="Times New Roman"/>
          <w:sz w:val="18"/>
          <w:szCs w:val="18"/>
          <w:color w:val="auto"/>
        </w:rPr>
        <w:t>Title:</w:t>
        <w:tab/>
        <w:t>Executive Vice President, Chief Legal Officer and Corporate</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2026-06-11T16:26:28Z</dcterms:created>
  <dcterms:modified xsi:type="dcterms:W3CDTF">2026-06-11T16:26:28Z</dcterms:modified>
</cp:coreProperties>
</file>