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40" w:after="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40" w:after="4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QUARTERLY REPORT PURSUANT TO SECTION 13 OR 15(d) OF THE SECURITIES EXCHANGE ACT OF 1934</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40"/>
        <w:jc w:val="left"/>
        <w:rPr/>
      </w:pPr>
      <w:r>
        <w:rPr>
          <w:color w:val="000000"/>
        </w:rPr>
        <w:t xml:space="preserve">☐ </w:t>
      </w:r>
      <w:r>
        <w:rPr>
          <w:rFonts w:ascii="Times New Roman;serif" w:hAnsi="Times New Roman;serif"/>
          <w:b/>
          <w:color w:val="000000"/>
          <w:sz w:val="24"/>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60"/>
        <w:jc w:val="center"/>
        <w:rPr/>
      </w:pPr>
      <w:r>
        <w:rPr>
          <w:rFonts w:ascii="Times New Roman;serif" w:hAnsi="Times New Roman;serif"/>
          <w:b/>
          <w:color w:val="000000"/>
          <w:sz w:val="20"/>
        </w:rPr>
        <w:t>Commission file number: 001-11693</w:t>
      </w:r>
      <w:r>
        <w:rPr>
          <w:color w:val="000000"/>
        </w:rPr>
        <w:t> </w:t>
      </w:r>
    </w:p>
    <w:p>
      <w:pPr>
        <w:pStyle w:val="TextBody"/>
        <w:bidi w:val="0"/>
        <w:spacing w:before="0" w:after="60"/>
        <w:jc w:val="center"/>
        <w:rPr/>
      </w:pPr>
      <w:r>
        <w:rPr/>
        <w:drawing>
          <wp:inline distT="0" distB="0" distL="0" distR="0">
            <wp:extent cx="14287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81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LIGHT &amp; WONDER,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8321" w:type="dxa"/>
        <w:jc w:val="center"/>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81-0422894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6601 Bermuda Road, Las Vegas, 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89119</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(702) 897-7150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12(g) of the Act: </w:t>
      </w:r>
    </w:p>
    <w:tbl>
      <w:tblPr>
        <w:tblW w:w="3779" w:type="dxa"/>
        <w:jc w:val="center"/>
        <w:tblInd w:w="0" w:type="dxa"/>
        <w:tblLayout w:type="fixed"/>
        <w:tblCellMar>
          <w:top w:w="28" w:type="dxa"/>
          <w:left w:w="28" w:type="dxa"/>
          <w:bottom w:w="28" w:type="dxa"/>
          <w:right w:w="28" w:type="dxa"/>
        </w:tblCellMar>
      </w:tblPr>
      <w:tblGrid>
        <w:gridCol w:w="1209"/>
        <w:gridCol w:w="1060"/>
        <w:gridCol w:w="1510"/>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r>
      <w:tr>
        <w:trPr/>
        <w:tc>
          <w:tcPr>
            <w:tcW w:w="37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r>
    </w:tbl>
    <w:p>
      <w:pPr>
        <w:pStyle w:val="TextBody"/>
        <w:bidi w:val="0"/>
        <w:spacing w:before="0" w:after="0"/>
        <w:ind w:left="0" w:right="0" w:firstLine="540"/>
        <w:jc w:val="left"/>
        <w:rPr/>
      </w:pPr>
      <w:r>
        <w:rPr/>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0" w:after="1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3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firstLine="5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60"/>
        <w:ind w:left="0" w:right="0" w:firstLine="540"/>
        <w:jc w:val="left"/>
        <w:rPr/>
      </w:pPr>
      <w:r>
        <w:rPr>
          <w:rFonts w:ascii="Times New Roman;serif" w:hAnsi="Times New Roman;serif"/>
          <w:b w:val="false"/>
          <w:color w:val="000000"/>
          <w:sz w:val="20"/>
        </w:rPr>
        <w:t>Indicate by check mark whether the registrant is a shell company (as defined in Rule 12b-2 of the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registrant’s common stock is publicly traded on the Australian Securities Exchange in the form of CHESS Depositary Interests, or CDIs, convertible at the option of the holders into shares of the registrant’s common stock on a one-for-one basis. The total number of shares of the registrant’s common stock outstanding as of July 31, 2026, including shares of common stock underlying the issued and outstanding CDIs, was 77,049,181 (including 661,427 CDIs held in a trust account with the registrant's equity plan administrator for future issuance in connection with the vesting or exercise of equity-based awards granted by the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LIGHT &amp; WONDER,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INDEX TO FINANCIAL AND OTHER INFORMATION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AND SIX MONTHS ENDED JUNE 30, 2026</w:t>
      </w:r>
    </w:p>
    <w:tbl>
      <w:tblPr>
        <w:tblW w:w="10205" w:type="dxa"/>
        <w:jc w:val="center"/>
        <w:tblInd w:w="0" w:type="dxa"/>
        <w:tblLayout w:type="fixed"/>
        <w:tblCellMar>
          <w:top w:w="28" w:type="dxa"/>
          <w:left w:w="28" w:type="dxa"/>
          <w:bottom w:w="28" w:type="dxa"/>
          <w:right w:w="28" w:type="dxa"/>
        </w:tblCellMar>
      </w:tblPr>
      <w:tblGrid>
        <w:gridCol w:w="334"/>
        <w:gridCol w:w="293"/>
        <w:gridCol w:w="296"/>
        <w:gridCol w:w="2912"/>
        <w:gridCol w:w="2912"/>
        <w:gridCol w:w="2915"/>
        <w:gridCol w:w="158"/>
        <w:gridCol w:w="158"/>
        <w:gridCol w:w="227"/>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9">
              <w:r>
                <w:rPr>
                  <w:rStyle w:val="InternetLink"/>
                  <w:rFonts w:ascii="Times New Roman;serif" w:hAnsi="Times New Roman;serif"/>
                  <w:b/>
                  <w:color w:val="0000FF"/>
                  <w:sz w:val="20"/>
                  <w:u w:val="single"/>
                </w:rPr>
                <w:t>PART I.</w:t>
              </w:r>
            </w:hyperlink>
            <w:r>
              <w:rPr>
                <w:color w:val="000000"/>
              </w:rPr>
              <w:t xml:space="preserve"> </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9">
              <w:r>
                <w:rPr>
                  <w:rStyle w:val="InternetLink"/>
                  <w:rFonts w:ascii="Times New Roman;serif" w:hAnsi="Times New Roman;serif"/>
                  <w:b/>
                  <w:color w:val="0000FF"/>
                  <w:sz w:val="20"/>
                  <w:u w:val="single"/>
                </w:rPr>
                <w:t>FINANCIAL INFORMATION</w:t>
              </w:r>
            </w:hyperlink>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22">
              <w:r>
                <w:rPr>
                  <w:rStyle w:val="InternetLink"/>
                  <w:rFonts w:ascii="Times New Roman;serif" w:hAnsi="Times New Roman;serif"/>
                  <w:b w:val="false"/>
                  <w:color w:val="0000FF"/>
                  <w:sz w:val="20"/>
                  <w:u w:val="single"/>
                </w:rPr>
                <w:t>Condensed Consolidated 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22">
              <w:r>
                <w:rPr>
                  <w:rStyle w:val="InternetLink"/>
                  <w:rFonts w:ascii="Times New Roman;serif" w:hAnsi="Times New Roman;serif"/>
                  <w:b w:val="false"/>
                  <w:color w:val="0000FF"/>
                  <w:sz w:val="20"/>
                  <w:u w:val="single"/>
                </w:rPr>
                <w:t>9</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2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34)</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25">
              <w:r>
                <w:rPr>
                  <w:rStyle w:val="InternetLink"/>
                  <w:rFonts w:ascii="Times New Roman;serif" w:hAnsi="Times New Roman;serif"/>
                  <w:b w:val="false"/>
                  <w:color w:val="0000FF"/>
                  <w:sz w:val="20"/>
                  <w:u w:val="single"/>
                </w:rPr>
                <w:t>9</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28">
              <w:r>
                <w:rPr>
                  <w:rStyle w:val="InternetLink"/>
                  <w:rFonts w:ascii="Times New Roman;serif" w:hAnsi="Times New Roman;serif"/>
                  <w:b w:val="false"/>
                  <w:color w:val="000080"/>
                  <w:sz w:val="20"/>
                  <w:u w:val="single"/>
                </w:rPr>
                <w:t xml:space="preserve">Consolidated Statements of Operations for the Three </w:t>
              </w:r>
            </w:hyperlink>
            <w:hyperlink w:anchor="i822569f9445047e5a761a9e508020739_28">
              <w:r>
                <w:rPr>
                  <w:rStyle w:val="InternetLink"/>
                  <w:rFonts w:ascii="Times New Roman;serif" w:hAnsi="Times New Roman;serif"/>
                  <w:b w:val="false"/>
                  <w:color w:val="000080"/>
                  <w:sz w:val="20"/>
                  <w:u w:val="single"/>
                </w:rPr>
                <w:t xml:space="preserve">and Six </w:t>
              </w:r>
            </w:hyperlink>
            <w:hyperlink w:anchor="i822569f9445047e5a761a9e508020739_28">
              <w:r>
                <w:rPr>
                  <w:rStyle w:val="InternetLink"/>
                  <w:rFonts w:ascii="Times New Roman;serif" w:hAnsi="Times New Roman;serif"/>
                  <w:b w:val="false"/>
                  <w:color w:val="000080"/>
                  <w:sz w:val="20"/>
                  <w:u w:val="single"/>
                </w:rPr>
                <w:t xml:space="preserve">Months Ended </w:t>
              </w:r>
            </w:hyperlink>
            <w:hyperlink w:anchor="i822569f9445047e5a761a9e508020739_28">
              <w:r>
                <w:rPr>
                  <w:rStyle w:val="InternetLink"/>
                  <w:rFonts w:ascii="Times New Roman;serif" w:hAnsi="Times New Roman;serif"/>
                  <w:b w:val="false"/>
                  <w:color w:val="000080"/>
                  <w:sz w:val="20"/>
                  <w:u w:val="single"/>
                </w:rPr>
                <w:t>Ju</w:t>
              </w:r>
            </w:hyperlink>
            <w:hyperlink w:anchor="i822569f9445047e5a761a9e508020739_28">
              <w:r>
                <w:rPr>
                  <w:rStyle w:val="InternetLink"/>
                  <w:rFonts w:ascii="Times New Roman;serif" w:hAnsi="Times New Roman;serif"/>
                  <w:b w:val="false"/>
                  <w:color w:val="000080"/>
                  <w:sz w:val="20"/>
                  <w:u w:val="single"/>
                </w:rPr>
                <w:t xml:space="preserve">ne </w:t>
              </w:r>
            </w:hyperlink>
            <w:hyperlink w:anchor="i822569f9445047e5a761a9e508020739_28">
              <w:r>
                <w:rPr>
                  <w:rStyle w:val="InternetLink"/>
                  <w:rFonts w:ascii="Times New Roman;serif" w:hAnsi="Times New Roman;serif"/>
                  <w:b w:val="false"/>
                  <w:color w:val="000080"/>
                  <w:sz w:val="20"/>
                  <w:u w:val="single"/>
                </w:rPr>
                <w:t>3</w:t>
              </w:r>
            </w:hyperlink>
            <w:hyperlink w:anchor="i822569f9445047e5a761a9e508020739_28">
              <w:r>
                <w:rPr>
                  <w:rStyle w:val="InternetLink"/>
                  <w:rFonts w:ascii="Times New Roman;serif" w:hAnsi="Times New Roman;serif"/>
                  <w:b w:val="false"/>
                  <w:color w:val="000080"/>
                  <w:sz w:val="20"/>
                  <w:u w:val="single"/>
                </w:rPr>
                <w:t>0</w:t>
              </w:r>
            </w:hyperlink>
            <w:hyperlink w:anchor="i822569f9445047e5a761a9e508020739_28">
              <w:r>
                <w:rPr>
                  <w:rStyle w:val="InternetLink"/>
                  <w:rFonts w:ascii="Times New Roman;serif" w:hAnsi="Times New Roman;serif"/>
                  <w:b w:val="false"/>
                  <w:color w:val="000080"/>
                  <w:sz w:val="20"/>
                  <w:u w:val="single"/>
                </w:rPr>
                <w:t>,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28">
              <w:r>
                <w:rPr>
                  <w:rStyle w:val="InternetLink"/>
                  <w:rFonts w:ascii="Times New Roman;serif" w:hAnsi="Times New Roman;serif"/>
                  <w:b w:val="false"/>
                  <w:color w:val="0000FF"/>
                  <w:sz w:val="20"/>
                  <w:u w:val="single"/>
                </w:rPr>
                <w:t>10</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31">
              <w:r>
                <w:rPr>
                  <w:rStyle w:val="InternetLink"/>
                  <w:rFonts w:ascii="Times New Roman;serif" w:hAnsi="Times New Roman;serif"/>
                  <w:b w:val="false"/>
                  <w:color w:val="000080"/>
                  <w:sz w:val="20"/>
                  <w:u w:val="single"/>
                </w:rPr>
                <w:t xml:space="preserve">Consolidated Statements of Comprehensive Income for the Three </w:t>
              </w:r>
            </w:hyperlink>
            <w:hyperlink w:anchor="i822569f9445047e5a761a9e508020739_31">
              <w:r>
                <w:rPr>
                  <w:rStyle w:val="InternetLink"/>
                  <w:rFonts w:ascii="Times New Roman;serif" w:hAnsi="Times New Roman;serif"/>
                  <w:b w:val="false"/>
                  <w:color w:val="000080"/>
                  <w:sz w:val="20"/>
                  <w:u w:val="single"/>
                </w:rPr>
                <w:t xml:space="preserve">and Six </w:t>
              </w:r>
            </w:hyperlink>
            <w:hyperlink w:anchor="i822569f9445047e5a761a9e508020739_31">
              <w:r>
                <w:rPr>
                  <w:rStyle w:val="InternetLink"/>
                  <w:rFonts w:ascii="Times New Roman;serif" w:hAnsi="Times New Roman;serif"/>
                  <w:b w:val="false"/>
                  <w:color w:val="000080"/>
                  <w:sz w:val="20"/>
                  <w:u w:val="single"/>
                </w:rPr>
                <w:t>Months Ended</w:t>
              </w:r>
            </w:hyperlink>
            <w:hyperlink w:anchor="i822569f9445047e5a761a9e508020739_31">
              <w:r>
                <w:rPr>
                  <w:rStyle w:val="InternetLink"/>
                  <w:rFonts w:ascii="Times New Roman;serif" w:hAnsi="Times New Roman;serif"/>
                  <w:b w:val="false"/>
                  <w:color w:val="000080"/>
                  <w:sz w:val="20"/>
                  <w:u w:val="single"/>
                </w:rPr>
                <w:t xml:space="preserve"> June</w:t>
              </w:r>
            </w:hyperlink>
            <w:hyperlink w:anchor="i822569f9445047e5a761a9e508020739_31">
              <w:r>
                <w:rPr>
                  <w:rStyle w:val="InternetLink"/>
                  <w:rFonts w:ascii="Times New Roman;serif" w:hAnsi="Times New Roman;serif"/>
                  <w:b w:val="false"/>
                  <w:color w:val="000080"/>
                  <w:sz w:val="20"/>
                  <w:u w:val="single"/>
                </w:rPr>
                <w:t xml:space="preserve"> 3</w:t>
              </w:r>
            </w:hyperlink>
            <w:hyperlink w:anchor="i822569f9445047e5a761a9e508020739_31">
              <w:r>
                <w:rPr>
                  <w:rStyle w:val="InternetLink"/>
                  <w:rFonts w:ascii="Times New Roman;serif" w:hAnsi="Times New Roman;serif"/>
                  <w:b w:val="false"/>
                  <w:color w:val="000080"/>
                  <w:sz w:val="20"/>
                  <w:u w:val="single"/>
                </w:rPr>
                <w:t>0</w:t>
              </w:r>
            </w:hyperlink>
            <w:hyperlink w:anchor="i822569f9445047e5a761a9e508020739_31">
              <w:r>
                <w:rPr>
                  <w:rStyle w:val="InternetLink"/>
                  <w:rFonts w:ascii="Times New Roman;serif" w:hAnsi="Times New Roman;serif"/>
                  <w:b w:val="false"/>
                  <w:color w:val="000080"/>
                  <w:sz w:val="20"/>
                  <w:u w:val="single"/>
                </w:rPr>
                <w:t>,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31">
              <w:r>
                <w:rPr>
                  <w:rStyle w:val="InternetLink"/>
                  <w:rFonts w:ascii="Times New Roman;serif" w:hAnsi="Times New Roman;serif"/>
                  <w:b w:val="false"/>
                  <w:color w:val="0000FF"/>
                  <w:sz w:val="20"/>
                  <w:u w:val="single"/>
                </w:rPr>
                <w:t>11</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34">
              <w:r>
                <w:rPr>
                  <w:rStyle w:val="InternetLink"/>
                  <w:rFonts w:ascii="Times New Roman;serif" w:hAnsi="Times New Roman;serif"/>
                  <w:b w:val="false"/>
                  <w:color w:val="000080"/>
                  <w:sz w:val="20"/>
                  <w:u w:val="single"/>
                </w:rPr>
                <w:t xml:space="preserve">Consolidated Balance Sheets as of </w:t>
              </w:r>
            </w:hyperlink>
            <w:hyperlink w:anchor="i822569f9445047e5a761a9e508020739_34">
              <w:r>
                <w:rPr>
                  <w:rStyle w:val="InternetLink"/>
                  <w:rFonts w:ascii="Times New Roman;serif" w:hAnsi="Times New Roman;serif"/>
                  <w:b w:val="false"/>
                  <w:color w:val="000080"/>
                  <w:sz w:val="20"/>
                  <w:u w:val="single"/>
                </w:rPr>
                <w:t>June</w:t>
              </w:r>
            </w:hyperlink>
            <w:hyperlink w:anchor="i822569f9445047e5a761a9e508020739_34">
              <w:r>
                <w:rPr>
                  <w:rStyle w:val="InternetLink"/>
                  <w:rFonts w:ascii="Times New Roman;serif" w:hAnsi="Times New Roman;serif"/>
                  <w:b w:val="false"/>
                  <w:color w:val="000080"/>
                  <w:sz w:val="20"/>
                  <w:u w:val="single"/>
                </w:rPr>
                <w:t xml:space="preserve"> 3</w:t>
              </w:r>
            </w:hyperlink>
            <w:hyperlink w:anchor="i822569f9445047e5a761a9e508020739_34">
              <w:r>
                <w:rPr>
                  <w:rStyle w:val="InternetLink"/>
                  <w:rFonts w:ascii="Times New Roman;serif" w:hAnsi="Times New Roman;serif"/>
                  <w:b w:val="false"/>
                  <w:color w:val="000080"/>
                  <w:sz w:val="20"/>
                  <w:u w:val="single"/>
                </w:rPr>
                <w:t>0</w:t>
              </w:r>
            </w:hyperlink>
            <w:hyperlink w:anchor="i822569f9445047e5a761a9e508020739_34">
              <w:r>
                <w:rPr>
                  <w:rStyle w:val="InternetLink"/>
                  <w:rFonts w:ascii="Times New Roman;serif" w:hAnsi="Times New Roman;serif"/>
                  <w:b w:val="false"/>
                  <w:color w:val="000080"/>
                  <w:sz w:val="20"/>
                  <w:u w:val="single"/>
                </w:rPr>
                <w:t>, 2026 and December 31,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34">
              <w:r>
                <w:rPr>
                  <w:rStyle w:val="InternetLink"/>
                  <w:rFonts w:ascii="Times New Roman;serif" w:hAnsi="Times New Roman;serif"/>
                  <w:b w:val="false"/>
                  <w:color w:val="0000FF"/>
                  <w:sz w:val="20"/>
                  <w:u w:val="single"/>
                </w:rPr>
                <w:t>12</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37">
              <w:r>
                <w:rPr>
                  <w:rStyle w:val="InternetLink"/>
                  <w:rFonts w:ascii="Times New Roman;serif" w:hAnsi="Times New Roman;serif"/>
                  <w:b w:val="false"/>
                  <w:color w:val="000080"/>
                  <w:sz w:val="20"/>
                  <w:u w:val="single"/>
                </w:rPr>
                <w:t xml:space="preserve">Condensed Consolidated Statements of Cash Flows for the </w:t>
              </w:r>
            </w:hyperlink>
            <w:hyperlink w:anchor="i822569f9445047e5a761a9e508020739_37">
              <w:r>
                <w:rPr>
                  <w:rStyle w:val="InternetLink"/>
                  <w:rFonts w:ascii="Times New Roman;serif" w:hAnsi="Times New Roman;serif"/>
                  <w:b w:val="false"/>
                  <w:color w:val="000080"/>
                  <w:sz w:val="20"/>
                  <w:u w:val="single"/>
                </w:rPr>
                <w:t>Six</w:t>
              </w:r>
            </w:hyperlink>
            <w:hyperlink w:anchor="i822569f9445047e5a761a9e508020739_37">
              <w:r>
                <w:rPr>
                  <w:rStyle w:val="InternetLink"/>
                  <w:rFonts w:ascii="Times New Roman;serif" w:hAnsi="Times New Roman;serif"/>
                  <w:b w:val="false"/>
                  <w:color w:val="000080"/>
                  <w:sz w:val="20"/>
                  <w:u w:val="single"/>
                </w:rPr>
                <w:t xml:space="preserve"> Months Ended </w:t>
              </w:r>
            </w:hyperlink>
            <w:hyperlink w:anchor="i822569f9445047e5a761a9e508020739_37">
              <w:r>
                <w:rPr>
                  <w:rStyle w:val="InternetLink"/>
                  <w:rFonts w:ascii="Times New Roman;serif" w:hAnsi="Times New Roman;serif"/>
                  <w:b w:val="false"/>
                  <w:color w:val="000080"/>
                  <w:sz w:val="20"/>
                  <w:u w:val="single"/>
                </w:rPr>
                <w:t>June</w:t>
              </w:r>
            </w:hyperlink>
            <w:hyperlink w:anchor="i822569f9445047e5a761a9e508020739_37">
              <w:r>
                <w:rPr>
                  <w:rStyle w:val="InternetLink"/>
                  <w:rFonts w:ascii="Times New Roman;serif" w:hAnsi="Times New Roman;serif"/>
                  <w:b w:val="false"/>
                  <w:color w:val="000080"/>
                  <w:sz w:val="20"/>
                  <w:u w:val="single"/>
                </w:rPr>
                <w:t xml:space="preserve"> 3</w:t>
              </w:r>
            </w:hyperlink>
            <w:hyperlink w:anchor="i822569f9445047e5a761a9e508020739_37">
              <w:r>
                <w:rPr>
                  <w:rStyle w:val="InternetLink"/>
                  <w:rFonts w:ascii="Times New Roman;serif" w:hAnsi="Times New Roman;serif"/>
                  <w:b w:val="false"/>
                  <w:color w:val="000080"/>
                  <w:sz w:val="20"/>
                  <w:u w:val="single"/>
                </w:rPr>
                <w:t>0</w:t>
              </w:r>
            </w:hyperlink>
            <w:hyperlink w:anchor="i822569f9445047e5a761a9e508020739_37">
              <w:r>
                <w:rPr>
                  <w:rStyle w:val="InternetLink"/>
                  <w:rFonts w:ascii="Times New Roman;serif" w:hAnsi="Times New Roman;serif"/>
                  <w:b w:val="false"/>
                  <w:color w:val="000080"/>
                  <w:sz w:val="20"/>
                  <w:u w:val="single"/>
                </w:rPr>
                <w:t>, 2026 and 2025</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37">
              <w:r>
                <w:rPr>
                  <w:rStyle w:val="InternetLink"/>
                  <w:rFonts w:ascii="Times New Roman;serif" w:hAnsi="Times New Roman;serif"/>
                  <w:b w:val="false"/>
                  <w:color w:val="0000FF"/>
                  <w:sz w:val="20"/>
                  <w:u w:val="single"/>
                </w:rPr>
                <w:t>13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40">
              <w:r>
                <w:rPr>
                  <w:rStyle w:val="InternetLink"/>
                  <w:rFonts w:ascii="Times New Roman;serif" w:hAnsi="Times New Roman;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40">
              <w:r>
                <w:rPr>
                  <w:rStyle w:val="InternetLink"/>
                  <w:rFonts w:ascii="Times New Roman;serif" w:hAnsi="Times New Roman;serif"/>
                  <w:b w:val="false"/>
                  <w:color w:val="0000FF"/>
                  <w:sz w:val="20"/>
                  <w:u w:val="single"/>
                </w:rPr>
                <w:t>14</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94">
              <w:r>
                <w:rPr>
                  <w:rStyle w:val="InternetLink"/>
                  <w:rFonts w:ascii="Times New Roman;serif" w:hAnsi="Times New Roman;serif"/>
                  <w:b w:val="false"/>
                  <w:color w:val="0000FF"/>
                  <w:sz w:val="20"/>
                  <w:u w:val="single"/>
                </w:rPr>
                <w:t>32</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30">
              <w:r>
                <w:rPr>
                  <w:rStyle w:val="InternetLink"/>
                  <w:rFonts w:ascii="Times New Roman;serif" w:hAnsi="Times New Roman;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30">
              <w:r>
                <w:rPr>
                  <w:rStyle w:val="InternetLink"/>
                  <w:rFonts w:ascii="Times New Roman;serif" w:hAnsi="Times New Roman;serif"/>
                  <w:b w:val="false"/>
                  <w:color w:val="0000FF"/>
                  <w:sz w:val="20"/>
                  <w:u w:val="single"/>
                </w:rPr>
                <w:t>42</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33">
              <w:r>
                <w:rPr>
                  <w:rStyle w:val="InternetLink"/>
                  <w:rFonts w:ascii="Times New Roman;serif" w:hAnsi="Times New Roman;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33">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36">
              <w:r>
                <w:rPr>
                  <w:rStyle w:val="InternetLink"/>
                  <w:rFonts w:ascii="Times New Roman;serif" w:hAnsi="Times New Roman;serif"/>
                  <w:b/>
                  <w:color w:val="0000FF"/>
                  <w:sz w:val="20"/>
                  <w:u w:val="single"/>
                </w:rPr>
                <w:t>PART II.</w:t>
              </w:r>
            </w:hyperlink>
            <w:r>
              <w:rPr>
                <w:color w:val="000000"/>
              </w:rPr>
              <w:t xml:space="preserve"> </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36">
              <w:r>
                <w:rPr>
                  <w:rStyle w:val="InternetLink"/>
                  <w:rFonts w:ascii="Times New Roman;serif" w:hAnsi="Times New Roman;serif"/>
                  <w:b/>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36">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39">
              <w:r>
                <w:rPr>
                  <w:rStyle w:val="InternetLink"/>
                  <w:rFonts w:ascii="Times New Roman;serif" w:hAnsi="Times New Roman;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39">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42">
              <w:r>
                <w:rPr>
                  <w:rStyle w:val="InternetLink"/>
                  <w:rFonts w:ascii="Times New Roman;serif" w:hAnsi="Times New Roman;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42">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45">
              <w:r>
                <w:rPr>
                  <w:rStyle w:val="InternetLink"/>
                  <w:rFonts w:ascii="Times New Roman;serif" w:hAnsi="Times New Roman;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45">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48">
              <w:r>
                <w:rPr>
                  <w:rStyle w:val="InternetLink"/>
                  <w:rFonts w:ascii="Times New Roman;serif" w:hAnsi="Times New Roman;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48">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51">
              <w:r>
                <w:rPr>
                  <w:rStyle w:val="InternetLink"/>
                  <w:rFonts w:ascii="Times New Roman;serif" w:hAnsi="Times New Roman;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51">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54">
              <w:r>
                <w:rPr>
                  <w:rStyle w:val="InternetLink"/>
                  <w:rFonts w:ascii="Times New Roman;serif" w:hAnsi="Times New Roman;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54">
              <w:r>
                <w:rPr>
                  <w:rStyle w:val="InternetLink"/>
                  <w:rFonts w:ascii="Times New Roman;serif" w:hAnsi="Times New Roman;serif"/>
                  <w:b w:val="false"/>
                  <w:color w:val="0000FF"/>
                  <w:sz w:val="20"/>
                  <w:u w:val="single"/>
                </w:rPr>
                <w:t>43</w:t>
              </w:r>
            </w:hyperlink>
          </w:p>
        </w:tc>
      </w:tr>
      <w:tr>
        <w:trPr/>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2569f9445047e5a761a9e508020739_157">
              <w:r>
                <w:rPr>
                  <w:rStyle w:val="InternetLink"/>
                  <w:rFonts w:ascii="Times New Roman;serif" w:hAnsi="Times New Roman;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2569f9445047e5a761a9e508020739_157">
              <w:r>
                <w:rPr>
                  <w:rStyle w:val="InternetLink"/>
                  <w:rFonts w:ascii="Times New Roman;serif" w:hAnsi="Times New Roman;serif"/>
                  <w:b w:val="false"/>
                  <w:color w:val="0000FF"/>
                  <w:sz w:val="20"/>
                  <w:u w:val="single"/>
                </w:rPr>
                <w:t>44</w:t>
              </w:r>
            </w:hyperlink>
          </w:p>
        </w:tc>
      </w:tr>
      <w:tr>
        <w:trPr/>
        <w:tc>
          <w:tcPr>
            <w:tcW w:w="923" w:type="dxa"/>
            <w:gridSpan w:val="3"/>
            <w:tcBorders/>
            <w:vAlign w:val="center"/>
          </w:tcPr>
          <w:p>
            <w:pPr>
              <w:pStyle w:val="TableContents"/>
              <w:bidi w:val="0"/>
              <w:spacing w:before="0" w:after="283"/>
              <w:jc w:val="left"/>
              <w:rPr>
                <w:sz w:val="4"/>
                <w:szCs w:val="4"/>
              </w:rPr>
            </w:pPr>
            <w:r>
              <w:rPr>
                <w:sz w:val="4"/>
                <w:szCs w:val="4"/>
              </w:rPr>
            </w:r>
          </w:p>
        </w:tc>
        <w:tc>
          <w:tcPr>
            <w:tcW w:w="8739"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r>
      <w:tr>
        <w:trPr/>
        <w:tc>
          <w:tcPr>
            <w:tcW w:w="923" w:type="dxa"/>
            <w:gridSpan w:val="3"/>
            <w:tcBorders/>
            <w:vAlign w:val="center"/>
          </w:tcPr>
          <w:p>
            <w:pPr>
              <w:pStyle w:val="TableContents"/>
              <w:bidi w:val="0"/>
              <w:spacing w:before="0" w:after="283"/>
              <w:jc w:val="left"/>
              <w:rPr>
                <w:sz w:val="4"/>
                <w:szCs w:val="4"/>
              </w:rPr>
            </w:pPr>
            <w:r>
              <w:rPr>
                <w:sz w:val="4"/>
                <w:szCs w:val="4"/>
              </w:rPr>
            </w:r>
          </w:p>
        </w:tc>
        <w:tc>
          <w:tcPr>
            <w:tcW w:w="8739"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following terms or acronyms used in this Quarterly Report on Form 10-Q are defined below:</w:t>
      </w:r>
    </w:p>
    <w:tbl>
      <w:tblPr>
        <w:tblW w:w="10205" w:type="dxa"/>
        <w:jc w:val="center"/>
        <w:tblInd w:w="0" w:type="dxa"/>
        <w:tblLayout w:type="fixed"/>
        <w:tblCellMar>
          <w:top w:w="28" w:type="dxa"/>
          <w:left w:w="28" w:type="dxa"/>
          <w:bottom w:w="28" w:type="dxa"/>
          <w:right w:w="28" w:type="dxa"/>
        </w:tblCellMar>
      </w:tblPr>
      <w:tblGrid>
        <w:gridCol w:w="629"/>
        <w:gridCol w:w="351"/>
        <w:gridCol w:w="353"/>
        <w:gridCol w:w="109"/>
        <w:gridCol w:w="109"/>
        <w:gridCol w:w="109"/>
        <w:gridCol w:w="2994"/>
        <w:gridCol w:w="2295"/>
        <w:gridCol w:w="3256"/>
      </w:tblGrid>
      <w:tr>
        <w:trPr/>
        <w:tc>
          <w:tcPr>
            <w:tcW w:w="6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8872" w:type="dxa"/>
            <w:gridSpan w:val="6"/>
            <w:tcBorders/>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8872" w:type="dxa"/>
            <w:gridSpan w:val="6"/>
            <w:tcBorders/>
          </w:tcPr>
          <w:p>
            <w:pPr>
              <w:pStyle w:val="TableContents"/>
              <w:bidi w:val="0"/>
              <w:spacing w:before="0" w:after="283"/>
              <w:jc w:val="left"/>
              <w:rPr>
                <w:sz w:val="4"/>
                <w:szCs w:val="4"/>
              </w:rPr>
            </w:pPr>
            <w:r>
              <w:rPr>
                <w:sz w:val="4"/>
                <w:szCs w:val="4"/>
              </w:rPr>
            </w:r>
          </w:p>
        </w:tc>
      </w:tr>
      <w:tr>
        <w:trPr/>
        <w:tc>
          <w:tcPr>
            <w:tcW w:w="13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Definition </w:t>
            </w:r>
          </w:p>
        </w:tc>
      </w:tr>
      <w:tr>
        <w:trPr/>
        <w:tc>
          <w:tcPr>
            <w:tcW w:w="1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Annual Report on Form 10-K filed with SEC on February 24, 2026</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7.250% senior unsecured notes due 2029 issued by LNWI</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7.500% senior unsecured notes due 2031 issued by LNWI</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6.250% senior unsecured notes due 2033 issued by LNWI</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our primary performance measure of profit or loss for our business segments</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Securities Exchange</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CHESS depositary interests</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casino-management system</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 (excluding goodwill)</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Grover Charitable Gaming business acquired on May 16, 2025</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KPIs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Performance Indicators</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L&amp;W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LBO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licensed betting office</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and Wonder International, Inc., a wholly-owned subsidiary of L&amp;W and successor to Scientific Games International, Inc.</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160"/>
              <w:jc w:val="left"/>
              <w:rPr>
                <w:rFonts w:ascii="Times New Roman;serif" w:hAnsi="Times New Roman;serif"/>
                <w:b w:val="false"/>
                <w:color w:val="000000"/>
                <w:sz w:val="20"/>
              </w:rPr>
            </w:pPr>
            <w:r>
              <w:rPr>
                <w:rFonts w:ascii="Times New Roman;serif" w:hAnsi="Times New Roman;serif"/>
                <w:b w:val="false"/>
                <w:color w:val="000000"/>
                <w:sz w:val="20"/>
              </w:rPr>
              <w:t>That certain credit agreement, dated as of April 14, 2022, among LNWI, as the borrower, L&amp;W, as a guarantor, the lenders from time to time party thereto, JPMorgan Chase Bank, N.A., as Administrative Agent, Collateral Agent and Swingline Lender, BofA Securities, Inc., BNP Paribas Securities Corp., Deutsche Bank Securities Inc., Fifth Third Bank, National Association, Barclays Bank PLC, Citizens Bank, N.A., Goldman Sachs Bank USA, Morgan Stanley Senior Funding, Inc., Royal Bank of Canada, Truist Securities, Inc., Credit Suisse Loan Funding LLC and Macquarie Capital (USA) Inc. as Lead Arrangers and Joint Bookrunners, as amended, restated, amended and restated, supplemented or otherwise modified from time to time</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Credit Agreement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That certain credit agreement, dated as of May 15, 2025, among LNWI, as the borrower, L&amp;W, as a guarantor, the lenders from time to time party thereto, JPMorgan Chase Bank, N.A., as Administrative Agent and Collateral Agent, JPMorgan Chase Bank, N.A., BofA Securities, Inc., Wells Fargo Securities, LLC, PNC Capital Markets LLC, Truist Securities, Inc., Citizens Bank, N.A., Sumitomo Mitsui Banking Corporation, BNP Paribas Securities Corp., KeyBanc Capital Markets Inc., U.S. Bank National Association, Fifth Third Bank, National Association, Goldman Sachs Bank USA and Morgan Stanley Senior Funding, Inc. as Joint Lead Arrangers and Joint Bookrunners and Deutsche Bank Securities Inc., as Co-Documentation Agent, as amended, restated, amended and restated, supplemented or otherwise modified from time to time</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with aggregate commitments of $1.0 billion extended pursuant to the LNWI Credit Agreement</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facility provided for by the LNWI Credit Agreement A</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facility provided for by the LNWI Credit Agreement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note in the Notes to Condensed Consolidated Financial Statements in this Quarterly Report on Form 10-Q, unless otherwise indicated</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gaming machines provided to customers through service or leasing arrangements in which we earn revenues and are paid based on: (1) a percentage of the amount wagered less payouts; (2) fixed daily-fees; (3) a percentage of the amount wagered; or (4) a combination of (2) and (3)</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w:t>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5"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refers to the 2029 Unsecured Notes, 2031 Unsecured Notes and 2033 Unsecured Notes, collectively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9401" w:type="dxa"/>
        <w:jc w:val="center"/>
        <w:tblInd w:w="0" w:type="dxa"/>
        <w:tblLayout w:type="fixed"/>
        <w:tblCellMar>
          <w:top w:w="28" w:type="dxa"/>
          <w:left w:w="28" w:type="dxa"/>
          <w:bottom w:w="28" w:type="dxa"/>
          <w:right w:w="28" w:type="dxa"/>
        </w:tblCellMar>
      </w:tblPr>
      <w:tblGrid>
        <w:gridCol w:w="609"/>
        <w:gridCol w:w="534"/>
        <w:gridCol w:w="537"/>
        <w:gridCol w:w="109"/>
        <w:gridCol w:w="109"/>
        <w:gridCol w:w="109"/>
        <w:gridCol w:w="2160"/>
        <w:gridCol w:w="2160"/>
        <w:gridCol w:w="307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21"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7721" w:type="dxa"/>
            <w:gridSpan w:val="6"/>
            <w:tcBorders/>
          </w:tcPr>
          <w:p>
            <w:pPr>
              <w:pStyle w:val="TableContents"/>
              <w:bidi w:val="0"/>
              <w:spacing w:before="0" w:after="283"/>
              <w:jc w:val="left"/>
              <w:rPr>
                <w:sz w:val="4"/>
                <w:szCs w:val="4"/>
              </w:rPr>
            </w:pPr>
            <w:r>
              <w:rPr>
                <w:sz w:val="4"/>
                <w:szCs w:val="4"/>
              </w:rPr>
            </w:r>
          </w:p>
        </w:tc>
      </w:tr>
      <w:tr>
        <w:trPr/>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Definition </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Shufflers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various models of automatic card shufflers, deck checkers and roulette chip sorters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50 states in the U.S. plus the District of Columbia, U.S. Virgin Islands and Puerto Rico</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VGT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gaming terminal</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 lottery terminal</w:t>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Intellectual Property Rights</w:t>
      </w:r>
    </w:p>
    <w:p>
      <w:pPr>
        <w:pStyle w:val="TextBody"/>
        <w:bidi w:val="0"/>
        <w:spacing w:lineRule="auto" w:line="288" w:before="0" w:after="160"/>
        <w:jc w:val="left"/>
        <w:rPr/>
      </w:pPr>
      <w:r>
        <w:rPr>
          <w:rFonts w:ascii="Times New Roman;serif" w:hAnsi="Times New Roman;serif"/>
          <w:b w:val="false"/>
          <w:color w:val="000000"/>
          <w:sz w:val="20"/>
        </w:rPr>
        <w:t xml:space="preserve">All </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notices signify marks registered in the United States. © 2026 Light &amp; Wonder, Inc. All Rights Reserved.</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2026 Hasbro. All Rights Reserved. Licensed by Hasbro.</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Frankenstein is a trademark and copyright of Universal Studios. Licensed by Universal. All Rights Reserved.</w:t>
      </w:r>
    </w:p>
    <w:p>
      <w:pPr>
        <w:pStyle w:val="TextBody"/>
        <w:bidi w:val="0"/>
        <w:spacing w:lineRule="auto" w:line="288" w:before="0" w:after="160"/>
        <w:jc w:val="left"/>
        <w:rPr/>
      </w:pPr>
      <w:r>
        <w:rPr>
          <w:rFonts w:ascii="Times New Roman;serif" w:hAnsi="Times New Roman;serif"/>
          <w:b w:val="false"/>
          <w:color w:val="000000"/>
          <w:sz w:val="20"/>
        </w:rPr>
        <w:t>UNIVERSAL MONSTERS™</w:t>
      </w:r>
      <w:r>
        <w:rPr>
          <w:color w:val="000000"/>
        </w:rPr>
        <w:t xml:space="preserve"> </w:t>
      </w:r>
      <w:r>
        <w:rPr>
          <w:rFonts w:ascii="Times New Roman;serif" w:hAnsi="Times New Roman;serif"/>
          <w:b w:val="false"/>
          <w:color w:val="000000"/>
          <w:sz w:val="20"/>
        </w:rPr>
        <w:t>The Universal Studios Monsters are trademarks and copyrights of Universal Studios. Licensed by Universal. All Rights Reserved.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KONG: SKULL ISLAND and all related characters and elements © Warner Bros. Entertainment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inability to successfully execute our strategy;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slow growth of new gaming jurisdictions, slow addition of casinos in existing jurisdictions and declines in the replacement cycle of gaming machines;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foreign operations, including anti-corruption laws, fluctuations in currency rates, restrictions on the payment of dividends from earnings, restrictions on the import of products and financial instability;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difficulty predicting what impact new or increased tariffs imposed by and other trade actions taken by the U.S. and foreign jurisdictions could have on our business;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U.S. and international economic and industry conditions, including changes in consumer sentiment and discretionary spending, increases in benchmark interest rates and the effects of inflation;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public perception of our response to environmental, social and governance (or “ESG”) issues;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effects of health epidemics, contagious disease outbreaks and public perception thereof;</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progress under, or the elimination of our share repurchase program;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level of our indebtedness, higher interest rates, availability or adequacy of cash flows and liquidity to satisfy indebtedness, other obligations or future cash needs;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or failure to further reduce or refinance our indebtedness, or to achieve investment-grade level leverage profile;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restrictions and covenants in debt agreements, including those that could result in acceleration of the maturity of our indebtedness;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competition;</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win, retain or renew, or unfavorable revisions of, existing contracts, and the inability to enter into new contracts;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and uncertainties of ongoing changes in U.K. gaming legislation, including any new or revised licensing and taxation regimes, responsible gambling requirements and/or sanctions on unlicensed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adapt to, and offer products that keep pace with, evolving technology, including any failure of our investment of significant resources in our R&amp;D efforts;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of our investments in artificial intelligence and infrastructure to achieve some or all of their intended benefits, including improved efficiency and growth;</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retain key management and employees;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demand for our products and services;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suppliers and manufacturers;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SciPlay’s dependence on certain key providers;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ownership changes and consolidation in the gaming industry;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fluctuations in our results due to seasonality and other factors;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risk that any potential disruptions from the Grover acquisition will harm relationships with customers, employees and suppliers;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possibility that the Company may be unable to achieve expected financial, operational and strategic benefits of the Grover acquisition and may not be able to successfully integrate Grover into the Company’s operations;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relating to delisting our securities from Nasdaq and transitioning to a sole primary listing on the ASX, which could negatively affect the liquidity and trading prices of our common stock or CDIs, impact our investors’ ability to trade in our securities and our access to the capital markets and could lead to price variations and other impacts on holders of our common stock, CDIs and other securities;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risks associated with having a sole primary listing on the ASX and remaining an SEC registrant, including significant compliance costs and risks of noncompliance;</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security and integrity of our products and systems, including the impact of any security breaches or cyber-attacks;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protection of our intellectual property, inability to license third-party intellectual property and the intellectual property rights of others;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or failures in information technology and other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reliance on technological blocking systems;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challenges or disruptions relating to the completion of the domestic migration of, and recent acquisition integrations into, our enterprise resource planning system;</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laws, government regulations and new or increased trade tariffs,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legislative interpretation and enforcement, regulatory perception and regulatory risks with respect to gaming, including Internet wagering, social gaming, prediction markets and sweepstakes;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changes in tax laws or tax rulings, or the examination of our tax positions;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opposition to legalized gaming or the expansion of such opposition and potential restrictions;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expectations of the shift to regulated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inability to develop successful products and services and capitalize on trends and changes in our industries, including the expansion of Internet and other forms of digital gaming;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continuing evolution of the scope of data privacy and security regulations, and our belief that the adoption of increasingly restrictive regulations in this area is likely within the U.S. and globally;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incurrence of restructuring costs;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goodwill impairment charges including changes in estimates or judgments related to our impairment analysis of goodwill or other intangible assets;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stock price volatility;</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failure to maintain adequate internal control over financial reporting;</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dependence on key executives;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natural events, including natural disasters, extreme weather and other natural events related to climate change, that disrupt our operations, or those of our customers, suppliers or regulators;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expectations of growth in total consumer spending on social casino gaming.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Additional information regarding risks and uncertainties and other factors that could cause actual results to differ materially from those contemplated in forward-looking statements is included from time to time in our filings with the SEC and lodgements with the ASX, including under the heading “Risk Factors” in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of this Quarterly Report on Form 10-Q and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in our 2025 10-K. Forward-looking statements speak only as of the date they are made and, except for our ongoing obligations under the U.S. federal securities laws and ASX Listing Rules, we undertake no, and expressly disclaim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any, obligation to publicly update any forward-looking statements whether as a result of new information, future events or otherwise.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charitable gaming, social and digital gaming industries than the same industries in the U.S.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rounding, certain numbers presented herein may not precisely recalculate. Unless otherwise stated, ‘$’ denotes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60"/>
        <w:jc w:val="left"/>
        <w:rPr/>
      </w:pPr>
      <w:r>
        <w:rPr>
          <w:rFonts w:ascii="Times New Roman;serif" w:hAnsi="Times New Roman;serif"/>
          <w:b w:val="false"/>
          <w:color w:val="000000"/>
          <w:sz w:val="20"/>
        </w:rPr>
        <w:t>To the stockholders</w:t>
      </w:r>
      <w:r>
        <w:rPr>
          <w:color w:val="000000"/>
        </w:rPr>
        <w:t xml:space="preserve"> </w:t>
      </w:r>
      <w:r>
        <w:rPr>
          <w:rFonts w:ascii="Times New Roman;serif" w:hAnsi="Times New Roman;serif"/>
          <w:b w:val="false"/>
          <w:color w:val="000000"/>
          <w:sz w:val="20"/>
        </w:rPr>
        <w:t>and the Board of Directors of Light &amp; Wonder, Inc.</w:t>
      </w:r>
    </w:p>
    <w:p>
      <w:pPr>
        <w:pStyle w:val="TextBody"/>
        <w:bidi w:val="0"/>
        <w:spacing w:lineRule="auto" w:line="288" w:before="0" w:after="160"/>
        <w:jc w:val="left"/>
        <w:rPr/>
      </w:pPr>
      <w:r>
        <w:rPr>
          <w:rFonts w:ascii="Times New Roman;serif" w:hAnsi="Times New Roman;serif"/>
          <w:b/>
          <w:color w:val="000000"/>
          <w:sz w:val="20"/>
        </w:rPr>
        <w:t>Results of Review of Interim Financial Information</w:t>
      </w:r>
      <w:r>
        <w:rPr>
          <w:color w:val="000000"/>
        </w:rPr>
        <w:t xml:space="preserve"> </w:t>
      </w:r>
    </w:p>
    <w:p>
      <w:pPr>
        <w:pStyle w:val="TextBody"/>
        <w:bidi w:val="0"/>
        <w:spacing w:lineRule="auto" w:line="288" w:before="0" w:after="160"/>
        <w:jc w:val="left"/>
        <w:rPr/>
      </w:pPr>
      <w:r>
        <w:rPr>
          <w:rFonts w:ascii="Times New Roman;serif" w:hAnsi="Times New Roman;serif"/>
          <w:b w:val="false"/>
          <w:color w:val="000000"/>
          <w:sz w:val="20"/>
        </w:rPr>
        <w:t>We have reviewed the accompanying consolidated balance sheet</w:t>
      </w:r>
      <w:r>
        <w:rPr>
          <w:color w:val="000000"/>
        </w:rPr>
        <w:t xml:space="preserve"> </w:t>
      </w:r>
      <w:r>
        <w:rPr>
          <w:rFonts w:ascii="Times New Roman;serif" w:hAnsi="Times New Roman;serif"/>
          <w:b w:val="false"/>
          <w:color w:val="000000"/>
          <w:sz w:val="20"/>
        </w:rPr>
        <w:t>of Light &amp; Wonder, Inc. and subsidiaries (the "Company") as of June 30, 2026, the consolidated statements of operations and consolidated statements of comprehensive income for the three-month and six-month periods ended June 30, 2026 and 2025, the condensed consolidated statement of cash flows for the six-month periods ended June 30, 2026 and 2025,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have previously audited, in accordance with the standards of the Public Company Accounting Oversight Board (United States) (PCAOB), the consolidated balance sheet of the Company as of December 31, 2025, and the related statements of operations, comprehensive income, stockholders’ equity, and cash flows for the year then ended (not presented herein); and in our report dated February 24,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Basis for Review Results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Las Vegas, Nevada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tbl>
      <w:tblPr>
        <w:tblW w:w="10205" w:type="dxa"/>
        <w:jc w:val="center"/>
        <w:tblInd w:w="0" w:type="dxa"/>
        <w:tblLayout w:type="fixed"/>
        <w:tblCellMar>
          <w:top w:w="28" w:type="dxa"/>
          <w:left w:w="28" w:type="dxa"/>
          <w:bottom w:w="28" w:type="dxa"/>
          <w:right w:w="28" w:type="dxa"/>
        </w:tblCellMar>
      </w:tblPr>
      <w:tblGrid>
        <w:gridCol w:w="1856"/>
        <w:gridCol w:w="1622"/>
        <w:gridCol w:w="1616"/>
        <w:gridCol w:w="254"/>
        <w:gridCol w:w="617"/>
        <w:gridCol w:w="131"/>
        <w:gridCol w:w="131"/>
        <w:gridCol w:w="131"/>
        <w:gridCol w:w="131"/>
        <w:gridCol w:w="254"/>
        <w:gridCol w:w="617"/>
        <w:gridCol w:w="131"/>
        <w:gridCol w:w="109"/>
        <w:gridCol w:w="109"/>
        <w:gridCol w:w="109"/>
        <w:gridCol w:w="213"/>
        <w:gridCol w:w="625"/>
        <w:gridCol w:w="109"/>
        <w:gridCol w:w="109"/>
        <w:gridCol w:w="109"/>
        <w:gridCol w:w="109"/>
        <w:gridCol w:w="213"/>
        <w:gridCol w:w="625"/>
        <w:gridCol w:w="109"/>
        <w:gridCol w:w="166"/>
      </w:tblGrid>
      <w:tr>
        <w:trPr/>
        <w:tc>
          <w:tcPr>
            <w:tcW w:w="185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products</w:t>
            </w:r>
            <w:r>
              <w:rPr>
                <w:rFonts w:ascii="Times New Roman;serif" w:hAnsi="Times New Roman;serif"/>
                <w:b w:val="false"/>
                <w:color w:val="000000"/>
                <w:sz w:val="13"/>
              </w:rPr>
              <w:t>(1)</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impairments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and other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w:t>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per share calculations:</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094"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39"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Excludes D&amp;A.</w:t>
            </w:r>
          </w:p>
        </w:tc>
        <w:tc>
          <w:tcPr>
            <w:tcW w:w="166"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849"/>
        <w:gridCol w:w="1621"/>
        <w:gridCol w:w="1636"/>
        <w:gridCol w:w="267"/>
        <w:gridCol w:w="591"/>
        <w:gridCol w:w="137"/>
        <w:gridCol w:w="137"/>
        <w:gridCol w:w="137"/>
        <w:gridCol w:w="137"/>
        <w:gridCol w:w="267"/>
        <w:gridCol w:w="591"/>
        <w:gridCol w:w="137"/>
        <w:gridCol w:w="109"/>
        <w:gridCol w:w="109"/>
        <w:gridCol w:w="109"/>
        <w:gridCol w:w="245"/>
        <w:gridCol w:w="542"/>
        <w:gridCol w:w="126"/>
        <w:gridCol w:w="126"/>
        <w:gridCol w:w="126"/>
        <w:gridCol w:w="126"/>
        <w:gridCol w:w="245"/>
        <w:gridCol w:w="542"/>
        <w:gridCol w:w="126"/>
        <w:gridCol w:w="167"/>
      </w:tblGrid>
      <w:tr>
        <w:trPr/>
        <w:tc>
          <w:tcPr>
            <w:tcW w:w="184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 net of tax</w:t>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unrealized (loss) gain, net of tax</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tbl>
      <w:tblPr>
        <w:tblW w:w="10205" w:type="dxa"/>
        <w:jc w:val="center"/>
        <w:tblInd w:w="0" w:type="dxa"/>
        <w:tblLayout w:type="fixed"/>
        <w:tblCellMar>
          <w:top w:w="28" w:type="dxa"/>
          <w:left w:w="28" w:type="dxa"/>
          <w:bottom w:w="28" w:type="dxa"/>
          <w:right w:w="28" w:type="dxa"/>
        </w:tblCellMar>
      </w:tblPr>
      <w:tblGrid>
        <w:gridCol w:w="2839"/>
        <w:gridCol w:w="2321"/>
        <w:gridCol w:w="2268"/>
        <w:gridCol w:w="246"/>
        <w:gridCol w:w="721"/>
        <w:gridCol w:w="127"/>
        <w:gridCol w:w="115"/>
        <w:gridCol w:w="115"/>
        <w:gridCol w:w="115"/>
        <w:gridCol w:w="286"/>
        <w:gridCol w:w="838"/>
        <w:gridCol w:w="214"/>
      </w:tblGrid>
      <w:tr>
        <w:trPr/>
        <w:tc>
          <w:tcPr>
            <w:tcW w:w="2839"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$28 and $29, respectively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deposits and other current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 for credit losses of $3 and $2, respectively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Common stock, par value $0.001 per share, 199.0 shares authorized; 77.0 and 118.6 shares issued</w:t>
            </w:r>
            <w:r>
              <w:rPr>
                <w:rFonts w:ascii="Times New Roman;serif" w:hAnsi="Times New Roman;serif"/>
                <w:b w:val="false"/>
                <w:color w:val="000000"/>
                <w:sz w:val="13"/>
              </w:rPr>
              <w:t>(1)</w:t>
            </w:r>
            <w:r>
              <w:rPr>
                <w:rFonts w:ascii="Times New Roman;serif" w:hAnsi="Times New Roman;serif"/>
                <w:b w:val="false"/>
                <w:color w:val="000000"/>
                <w:sz w:val="20"/>
              </w:rPr>
              <w:t>, respectively, and 77.0 and 77.1 shares outstanding</w:t>
            </w:r>
            <w:r>
              <w:rPr>
                <w:rFonts w:ascii="Times New Roman;serif" w:hAnsi="Times New Roman;serif"/>
                <w:b w:val="false"/>
                <w:color w:val="000000"/>
                <w:sz w:val="13"/>
              </w:rPr>
              <w:t>(1)</w:t>
            </w:r>
            <w:r>
              <w:rPr>
                <w:rFonts w:ascii="Times New Roman;serif" w:hAnsi="Times New Roman;serif"/>
                <w:b w:val="false"/>
                <w:color w:val="000000"/>
                <w:sz w:val="20"/>
              </w:rPr>
              <w:t>, respectively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41.5 shares as of December 31, 2025</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428"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r>
      <w:tr>
        <w:trPr/>
        <w:tc>
          <w:tcPr>
            <w:tcW w:w="7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stockholders’ equity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total number of shares issued and outstanding as of June 30, 2026 includes 0.7 million CDIs held in a trust account with our equity plan administrator for future issuance in connection with the vesting or exercise of equity-based awards granted by the Company.</w:t>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380" w:type="dxa"/>
        <w:jc w:val="center"/>
        <w:tblInd w:w="0" w:type="dxa"/>
        <w:tblLayout w:type="fixed"/>
        <w:tblCellMar>
          <w:top w:w="28" w:type="dxa"/>
          <w:left w:w="28" w:type="dxa"/>
          <w:bottom w:w="28" w:type="dxa"/>
          <w:right w:w="28" w:type="dxa"/>
        </w:tblCellMar>
      </w:tblPr>
      <w:tblGrid>
        <w:gridCol w:w="2491"/>
        <w:gridCol w:w="2194"/>
        <w:gridCol w:w="2200"/>
        <w:gridCol w:w="248"/>
        <w:gridCol w:w="548"/>
        <w:gridCol w:w="128"/>
        <w:gridCol w:w="128"/>
        <w:gridCol w:w="128"/>
        <w:gridCol w:w="128"/>
        <w:gridCol w:w="248"/>
        <w:gridCol w:w="548"/>
        <w:gridCol w:w="128"/>
        <w:gridCol w:w="109"/>
        <w:gridCol w:w="154"/>
      </w:tblGrid>
      <w:tr>
        <w:trPr/>
        <w:tc>
          <w:tcPr>
            <w:tcW w:w="2491"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assets, net of cash acquired and other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revolving credit facility</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Repayments under revolving credit facility </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senior notes and term loans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and deferred financing costs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license obligations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acquisition consideration</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L&amp;W common stock</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redemptions of common stock under stock-based compensation plans and other</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transactions: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vAlign w:val="center"/>
          </w:tcPr>
          <w:p>
            <w:pPr>
              <w:pStyle w:val="TableContents"/>
              <w:bidi w:val="0"/>
              <w:spacing w:before="0" w:after="283"/>
              <w:jc w:val="left"/>
              <w:rPr>
                <w:sz w:val="4"/>
                <w:szCs w:val="4"/>
              </w:rPr>
            </w:pPr>
            <w:r>
              <w:rPr>
                <w:sz w:val="4"/>
                <w:szCs w:val="4"/>
              </w:rPr>
            </w:r>
          </w:p>
        </w:tc>
        <w:tc>
          <w:tcPr>
            <w:tcW w:w="2495" w:type="dxa"/>
            <w:gridSpan w:val="11"/>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LIGHT &amp; WONDER,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amounts in USD, table amounts in millions,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 Description of the Business and Summary of Significant Accounting Policies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We report our results of operations in three reportable business segments—Gaming, SciPlay and iGaming—representing our different products and services.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opinion of L&amp;W and its management, we have made all adjustments necessary to present fairly our condensed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2025 10-K. Interim results of operations are not necessarily indicative of results of operations to be expected for a full year.</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Significant Accounting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to our significant accounting policies described within the Notes of our 2025 10-K, other than those related to internal-use capitalized software costs as described in Note 9.</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Acquisition of Grover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16, 2025, we completed the acquisition of Grover for an upfront consideration of $850 million, subject to certain customary purchase price adjustments as set forth in the purchase agreement, and up to $200 million in cash in the aggregate in the form of contingent acquisition consideration payments based on achievement of certain revenue metrics over a four-year period. Grover is a leading provider of electronic pull tabs currently distributed over six U.S. states: North Dakota, Ohio, Virginia, Kentucky, New Hampshire and Indiana (since December 2025).</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Grover operating segment has been aggregated with our Gaming reportable business segment.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Computation of Basic and Diluted Net Income Per Share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share are based upon net income divided by the weighted average number of common shares outstanding during the period. Diluted net income per share reflects the effect of the assumed exercise of stock options and vesting of RSUs only in the periods in which such effect would have been dilutive to net income. For the three and six months ended June 30, 2026, we included 1.1 million and 1.4 million, respectively, of common stock equivalents in the calculation of diluted net income per share. For the three and six months ended June 30, 2025, we included 1.3 million and 1.6 million, respectively, of common stock equivalents in the calculation of diluted net income per share.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New Accounting Guidance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FASB issued ASU No. 2025-06, under Subtopic 350-40, </w:t>
      </w:r>
      <w:r>
        <w:rPr>
          <w:rFonts w:ascii="Times New Roman;serif" w:hAnsi="Times New Roman;serif"/>
          <w:b w:val="false"/>
          <w:i/>
          <w:color w:val="000000"/>
          <w:sz w:val="20"/>
        </w:rPr>
        <w:t>Intangibles — Goodwill and Other — Internal-Use Software</w:t>
      </w:r>
      <w:r>
        <w:rPr>
          <w:color w:val="000000"/>
        </w:rPr>
        <w:t xml:space="preserve"> </w:t>
      </w:r>
      <w:r>
        <w:rPr>
          <w:rFonts w:ascii="Times New Roman;serif" w:hAnsi="Times New Roman;serif"/>
          <w:b w:val="false"/>
          <w:color w:val="000000"/>
          <w:sz w:val="20"/>
        </w:rPr>
        <w:t>in September 2025. The new guidance aims to modernize the accounting for internal-use capitalized software costs and removes all references to prescriptive and sequential software development stages (referred to as “project stages”) throughout Subtopic 350-40. An entity is therefore required to start capitalizing internal-use software costs when management has authorized and committed to funding the software project, and when it is probable that the project will be completed and the software will be used to perform the function intended (the “probable-to-complete” recognition threshold). We adopted this guidance as of January 1, 2026, and it did not have a material impact on our consolidated financial statements.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other recent accounting pronouncements or changes in accounting pronouncements since those described within Note 1 of our 2025 10-K that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revenues by type within each of our reportable business segments:</w:t>
      </w:r>
    </w:p>
    <w:tbl>
      <w:tblPr>
        <w:tblW w:w="8207" w:type="dxa"/>
        <w:jc w:val="left"/>
        <w:tblInd w:w="0" w:type="dxa"/>
        <w:tblLayout w:type="fixed"/>
        <w:tblCellMar>
          <w:top w:w="28" w:type="dxa"/>
          <w:left w:w="28" w:type="dxa"/>
          <w:bottom w:w="28" w:type="dxa"/>
          <w:right w:w="28" w:type="dxa"/>
        </w:tblCellMar>
      </w:tblPr>
      <w:tblGrid>
        <w:gridCol w:w="1025"/>
        <w:gridCol w:w="901"/>
        <w:gridCol w:w="909"/>
        <w:gridCol w:w="109"/>
        <w:gridCol w:w="109"/>
        <w:gridCol w:w="109"/>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102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SciPlay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iGaming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7"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of rental income revenue included in services revenue within the consolidated statement of operations that is outside the scope of ASC 606 was $163 million and $319 million for the three and six months ended June 30, 2026, respectively, and $151 million and $289 million for the three and six months ended June 30, 2025,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Contract Liabilities and Other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our contract liabilities for the reporting period:</w:t>
      </w:r>
    </w:p>
    <w:tbl>
      <w:tblPr>
        <w:tblW w:w="8908" w:type="dxa"/>
        <w:jc w:val="left"/>
        <w:tblInd w:w="0" w:type="dxa"/>
        <w:tblLayout w:type="fixed"/>
        <w:tblCellMar>
          <w:top w:w="28" w:type="dxa"/>
          <w:left w:w="28" w:type="dxa"/>
          <w:bottom w:w="28" w:type="dxa"/>
          <w:right w:w="28" w:type="dxa"/>
        </w:tblCellMar>
      </w:tblPr>
      <w:tblGrid>
        <w:gridCol w:w="1962"/>
        <w:gridCol w:w="1726"/>
        <w:gridCol w:w="1733"/>
        <w:gridCol w:w="126"/>
        <w:gridCol w:w="126"/>
        <w:gridCol w:w="126"/>
        <w:gridCol w:w="902"/>
        <w:gridCol w:w="1545"/>
        <w:gridCol w:w="662"/>
      </w:tblGrid>
      <w:tr>
        <w:trPr/>
        <w:tc>
          <w:tcPr>
            <w:tcW w:w="1962"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beginning of period</w:t>
            </w:r>
            <w:r>
              <w:rPr>
                <w:rFonts w:ascii="Times New Roman;serif" w:hAnsi="Times New Roman;serif"/>
                <w:b w:val="false"/>
                <w:color w:val="000000"/>
                <w:sz w:val="13"/>
              </w:rPr>
              <w:t>(1)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recognized during the period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from beginning balance</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liability balance, end of period</w:t>
            </w:r>
            <w:r>
              <w:rPr>
                <w:rFonts w:ascii="Times New Roman;serif" w:hAnsi="Times New Roman;serif"/>
                <w:b w:val="false"/>
                <w:color w:val="000000"/>
                <w:sz w:val="13"/>
              </w:rPr>
              <w:t>(1)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9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Contract liabilities are included within Accrued liabilities and Other long-term liabilities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balances in these accounts for the periods indicated (other than contract liabilities disclosed above):</w:t>
      </w:r>
    </w:p>
    <w:tbl>
      <w:tblPr>
        <w:tblW w:w="9474" w:type="dxa"/>
        <w:jc w:val="left"/>
        <w:tblInd w:w="0" w:type="dxa"/>
        <w:tblLayout w:type="fixed"/>
        <w:tblCellMar>
          <w:top w:w="28" w:type="dxa"/>
          <w:left w:w="28" w:type="dxa"/>
          <w:bottom w:w="28" w:type="dxa"/>
          <w:right w:w="28" w:type="dxa"/>
        </w:tblCellMar>
      </w:tblPr>
      <w:tblGrid>
        <w:gridCol w:w="1800"/>
        <w:gridCol w:w="1578"/>
        <w:gridCol w:w="1589"/>
        <w:gridCol w:w="421"/>
        <w:gridCol w:w="930"/>
        <w:gridCol w:w="218"/>
        <w:gridCol w:w="172"/>
        <w:gridCol w:w="172"/>
        <w:gridCol w:w="172"/>
        <w:gridCol w:w="703"/>
        <w:gridCol w:w="1204"/>
        <w:gridCol w:w="515"/>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Receivables</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Contract Assets</w:t>
            </w:r>
            <w:r>
              <w:rPr>
                <w:rFonts w:ascii="Times New Roman;serif" w:hAnsi="Times New Roman;serif"/>
                <w:b/>
                <w:color w:val="000000"/>
                <w:sz w:val="12"/>
              </w:rPr>
              <w:t>(1)</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 balance</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 of period balance, June 30, 2026</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1569"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422" w:type="dxa"/>
            <w:gridSpan w:val="3"/>
            <w:tcBorders/>
            <w:vAlign w:val="center"/>
          </w:tcPr>
          <w:p>
            <w:pPr>
              <w:pStyle w:val="TableContents"/>
              <w:bidi w:val="0"/>
              <w:spacing w:before="0" w:after="283"/>
              <w:jc w:val="left"/>
              <w:rPr>
                <w:sz w:val="4"/>
                <w:szCs w:val="4"/>
              </w:rPr>
            </w:pPr>
            <w:r>
              <w:rPr>
                <w:sz w:val="4"/>
                <w:szCs w:val="4"/>
              </w:rPr>
            </w:r>
          </w:p>
        </w:tc>
      </w:tr>
      <w:tr>
        <w:trPr/>
        <w:tc>
          <w:tcPr>
            <w:tcW w:w="9474" w:type="dxa"/>
            <w:gridSpan w:val="12"/>
            <w:tcBorders/>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16"/>
              </w:rPr>
            </w:pPr>
            <w:r>
              <w:rPr>
                <w:rFonts w:ascii="Times New Roman;serif" w:hAnsi="Times New Roman;serif"/>
                <w:b w:val="false"/>
                <w:color w:val="000000"/>
                <w:sz w:val="16"/>
              </w:rPr>
              <w:t>(1) Contract assets are included primarily within Prepaid expenses, deposits and other current assets in our consolidated balance sheets.</w:t>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did not have material unsatisfied performance obligations for contracts expected to be long-term or contracts for which we recognize revenue at an amount other than that for which we have the right to invoice for goods or services delivered or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(3) Reportable Segments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report our operations in three reportable business segments—Gaming, SciPlay and iGaming—representing our different products and services. A detailed discussion regarding the products and services from which each reportable business segment derives its revenue is included in Notes 2 and 3 in our 2025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financial performance, our Chief Operating Decision Maker (“CODM,” defined as our Chief Executive Officer) focuses on AEBITDA as management’s primary segment measure of profit or loss, which is described in footnote (5) to the below table. Our CODM uses reportable business segment AEBITDA to evaluate the performance of each reportable business segment and to allocate resources. Additionally, AEBITDA is one of the key metrics used in our incentive compensation program. The accounting policies for our reportable segments are the same as those described within the Notes in our 2025 10-K. The following tables present our reportable segment information:</w:t>
      </w:r>
    </w:p>
    <w:tbl>
      <w:tblPr>
        <w:tblW w:w="10205" w:type="dxa"/>
        <w:jc w:val="left"/>
        <w:tblInd w:w="0" w:type="dxa"/>
        <w:tblLayout w:type="fixed"/>
        <w:tblCellMar>
          <w:top w:w="28" w:type="dxa"/>
          <w:left w:w="28" w:type="dxa"/>
          <w:bottom w:w="28" w:type="dxa"/>
          <w:right w:w="28" w:type="dxa"/>
        </w:tblCellMar>
      </w:tblPr>
      <w:tblGrid>
        <w:gridCol w:w="1050"/>
        <w:gridCol w:w="505"/>
        <w:gridCol w:w="508"/>
        <w:gridCol w:w="237"/>
        <w:gridCol w:w="524"/>
        <w:gridCol w:w="122"/>
        <w:gridCol w:w="122"/>
        <w:gridCol w:w="122"/>
        <w:gridCol w:w="122"/>
        <w:gridCol w:w="237"/>
        <w:gridCol w:w="524"/>
        <w:gridCol w:w="122"/>
        <w:gridCol w:w="122"/>
        <w:gridCol w:w="122"/>
        <w:gridCol w:w="122"/>
        <w:gridCol w:w="266"/>
        <w:gridCol w:w="456"/>
        <w:gridCol w:w="138"/>
        <w:gridCol w:w="122"/>
        <w:gridCol w:w="122"/>
        <w:gridCol w:w="122"/>
        <w:gridCol w:w="342"/>
        <w:gridCol w:w="759"/>
        <w:gridCol w:w="179"/>
        <w:gridCol w:w="122"/>
        <w:gridCol w:w="122"/>
        <w:gridCol w:w="122"/>
        <w:gridCol w:w="423"/>
        <w:gridCol w:w="815"/>
        <w:gridCol w:w="221"/>
        <w:gridCol w:w="122"/>
        <w:gridCol w:w="122"/>
        <w:gridCol w:w="122"/>
        <w:gridCol w:w="237"/>
        <w:gridCol w:w="524"/>
        <w:gridCol w:w="186"/>
      </w:tblGrid>
      <w:tr>
        <w:trPr/>
        <w:tc>
          <w:tcPr>
            <w:tcW w:w="105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r>
      <w:tr>
        <w:trP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three months ended June 30, 2026</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 AEBITDA is reconciled to net income before income taxes with the following adjustments, as applicable: (a) depreciation and amortization expense and impairment charges (including goodwill impairments); (b) restructuring and other, which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(c) interest expense; (d) loss on debt refinancing transactions; (e) change in fair value of investments and remeasurement of debt and other; (f) other income (expense), net, including foreign currency gains or losses and earnings (loss) from equity investments; and (g) stock-based compensation. AEBITDA is presented as our primary segment measure of profit or loss.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06"/>
        <w:gridCol w:w="661"/>
        <w:gridCol w:w="666"/>
        <w:gridCol w:w="212"/>
        <w:gridCol w:w="470"/>
        <w:gridCol w:w="109"/>
        <w:gridCol w:w="109"/>
        <w:gridCol w:w="109"/>
        <w:gridCol w:w="109"/>
        <w:gridCol w:w="212"/>
        <w:gridCol w:w="470"/>
        <w:gridCol w:w="109"/>
        <w:gridCol w:w="109"/>
        <w:gridCol w:w="109"/>
        <w:gridCol w:w="109"/>
        <w:gridCol w:w="239"/>
        <w:gridCol w:w="409"/>
        <w:gridCol w:w="124"/>
        <w:gridCol w:w="109"/>
        <w:gridCol w:w="109"/>
        <w:gridCol w:w="109"/>
        <w:gridCol w:w="355"/>
        <w:gridCol w:w="789"/>
        <w:gridCol w:w="186"/>
        <w:gridCol w:w="109"/>
        <w:gridCol w:w="109"/>
        <w:gridCol w:w="109"/>
        <w:gridCol w:w="461"/>
        <w:gridCol w:w="888"/>
        <w:gridCol w:w="241"/>
        <w:gridCol w:w="109"/>
        <w:gridCol w:w="109"/>
        <w:gridCol w:w="109"/>
        <w:gridCol w:w="212"/>
        <w:gridCol w:w="470"/>
        <w:gridCol w:w="181"/>
      </w:tblGrid>
      <w:tr>
        <w:trPr/>
        <w:tc>
          <w:tcPr>
            <w:tcW w:w="110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r>
      <w:tr>
        <w:trPr/>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three months ended June 30, 2025</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8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048"/>
        <w:gridCol w:w="595"/>
        <w:gridCol w:w="599"/>
        <w:gridCol w:w="212"/>
        <w:gridCol w:w="620"/>
        <w:gridCol w:w="109"/>
        <w:gridCol w:w="109"/>
        <w:gridCol w:w="109"/>
        <w:gridCol w:w="109"/>
        <w:gridCol w:w="212"/>
        <w:gridCol w:w="469"/>
        <w:gridCol w:w="109"/>
        <w:gridCol w:w="109"/>
        <w:gridCol w:w="109"/>
        <w:gridCol w:w="109"/>
        <w:gridCol w:w="212"/>
        <w:gridCol w:w="469"/>
        <w:gridCol w:w="109"/>
        <w:gridCol w:w="109"/>
        <w:gridCol w:w="109"/>
        <w:gridCol w:w="109"/>
        <w:gridCol w:w="288"/>
        <w:gridCol w:w="844"/>
        <w:gridCol w:w="150"/>
        <w:gridCol w:w="109"/>
        <w:gridCol w:w="109"/>
        <w:gridCol w:w="109"/>
        <w:gridCol w:w="440"/>
        <w:gridCol w:w="847"/>
        <w:gridCol w:w="230"/>
        <w:gridCol w:w="109"/>
        <w:gridCol w:w="109"/>
        <w:gridCol w:w="109"/>
        <w:gridCol w:w="212"/>
        <w:gridCol w:w="620"/>
        <w:gridCol w:w="176"/>
      </w:tblGrid>
      <w:tr>
        <w:trPr/>
        <w:tc>
          <w:tcPr>
            <w:tcW w:w="10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six months ended June 30, 2026</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48"/>
        <w:gridCol w:w="595"/>
        <w:gridCol w:w="599"/>
        <w:gridCol w:w="212"/>
        <w:gridCol w:w="620"/>
        <w:gridCol w:w="109"/>
        <w:gridCol w:w="109"/>
        <w:gridCol w:w="109"/>
        <w:gridCol w:w="109"/>
        <w:gridCol w:w="212"/>
        <w:gridCol w:w="469"/>
        <w:gridCol w:w="109"/>
        <w:gridCol w:w="109"/>
        <w:gridCol w:w="109"/>
        <w:gridCol w:w="109"/>
        <w:gridCol w:w="212"/>
        <w:gridCol w:w="469"/>
        <w:gridCol w:w="109"/>
        <w:gridCol w:w="109"/>
        <w:gridCol w:w="109"/>
        <w:gridCol w:w="109"/>
        <w:gridCol w:w="288"/>
        <w:gridCol w:w="844"/>
        <w:gridCol w:w="150"/>
        <w:gridCol w:w="109"/>
        <w:gridCol w:w="109"/>
        <w:gridCol w:w="109"/>
        <w:gridCol w:w="440"/>
        <w:gridCol w:w="847"/>
        <w:gridCol w:w="230"/>
        <w:gridCol w:w="109"/>
        <w:gridCol w:w="109"/>
        <w:gridCol w:w="109"/>
        <w:gridCol w:w="212"/>
        <w:gridCol w:w="620"/>
        <w:gridCol w:w="176"/>
      </w:tblGrid>
      <w:tr>
        <w:trPr/>
        <w:tc>
          <w:tcPr>
            <w:tcW w:w="10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(2)</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Payroll and related</w:t>
            </w:r>
            <w:r>
              <w:rPr>
                <w:rFonts w:ascii="Times New Roman;serif" w:hAnsi="Times New Roman;serif"/>
                <w:b w:val="false"/>
                <w:color w:val="000000"/>
                <w:sz w:val="13"/>
              </w:rPr>
              <w:t>(3)</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reconciling items</w:t>
            </w:r>
            <w:r>
              <w:rPr>
                <w:rFonts w:ascii="Times New Roman;serif" w:hAnsi="Times New Roman;serif"/>
                <w:b w:val="false"/>
                <w:color w:val="000000"/>
                <w:sz w:val="13"/>
              </w:rPr>
              <w:t>(4)</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pPr>
            <w:r>
              <w:rPr>
                <w:rFonts w:ascii="Times New Roman;serif" w:hAnsi="Times New Roman;serif"/>
                <w:b w:val="false"/>
                <w:color w:val="000000"/>
                <w:sz w:val="20"/>
              </w:rPr>
              <w:t>AEBITDA</w:t>
            </w:r>
            <w:r>
              <w:rPr>
                <w:rFonts w:ascii="Times New Roman;serif" w:hAnsi="Times New Roman;serif"/>
                <w:b w:val="false"/>
                <w:color w:val="000000"/>
                <w:sz w:val="13"/>
              </w:rPr>
              <w:t>(5)</w:t>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Reconciling items to net income before income taxes:</w:t>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expenditures for the six months ended June 30, 2025</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costs) and items to reconcile the total reportable segments AEBITDA to our consolidated net income before income taxes.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Excludes D&amp;A.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 Excludes stock-based compensation.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 Primarily represents various other non-payroll related operating expenses, including but not limited to, professional and legal services, marketing, facilities and operating leases, maintenance, and other operating expenses.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AEBITDA is described in footnote (5) to the first table in this Note 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 balances of each reportable business segment for the periods indicated:</w:t>
      </w:r>
    </w:p>
    <w:tbl>
      <w:tblPr>
        <w:tblW w:w="10205" w:type="dxa"/>
        <w:jc w:val="left"/>
        <w:tblInd w:w="0" w:type="dxa"/>
        <w:tblLayout w:type="fixed"/>
        <w:tblCellMar>
          <w:top w:w="28" w:type="dxa"/>
          <w:left w:w="28" w:type="dxa"/>
          <w:bottom w:w="28" w:type="dxa"/>
          <w:right w:w="28" w:type="dxa"/>
        </w:tblCellMar>
      </w:tblPr>
      <w:tblGrid>
        <w:gridCol w:w="822"/>
        <w:gridCol w:w="496"/>
        <w:gridCol w:w="500"/>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328"/>
        <w:gridCol w:w="962"/>
        <w:gridCol w:w="171"/>
        <w:gridCol w:w="109"/>
        <w:gridCol w:w="109"/>
        <w:gridCol w:w="109"/>
        <w:gridCol w:w="482"/>
        <w:gridCol w:w="1066"/>
        <w:gridCol w:w="249"/>
        <w:gridCol w:w="109"/>
        <w:gridCol w:w="109"/>
        <w:gridCol w:w="109"/>
        <w:gridCol w:w="211"/>
        <w:gridCol w:w="616"/>
        <w:gridCol w:w="159"/>
      </w:tblGrid>
      <w:tr>
        <w:trPr/>
        <w:tc>
          <w:tcPr>
            <w:tcW w:w="8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Unallocated and Reconciling Items</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18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as of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Assets as of December 31,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amounts not allocated to the reportable segments (including corporate amounts) and items to reconcile the total reportable segments assets to our consolidated assets.</w:t>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818" w:type="dxa"/>
            <w:gridSpan w:val="3"/>
            <w:tcBorders/>
            <w:vAlign w:val="center"/>
          </w:tcPr>
          <w:p>
            <w:pPr>
              <w:pStyle w:val="TableContents"/>
              <w:bidi w:val="0"/>
              <w:spacing w:before="0" w:after="283"/>
              <w:jc w:val="left"/>
              <w:rPr>
                <w:sz w:val="4"/>
                <w:szCs w:val="4"/>
              </w:rPr>
            </w:pPr>
            <w:r>
              <w:rPr>
                <w:sz w:val="4"/>
                <w:szCs w:val="4"/>
              </w:rPr>
            </w:r>
          </w:p>
        </w:tc>
        <w:tc>
          <w:tcPr>
            <w:tcW w:w="8387"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(4) 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includes charges or expenses attributable to: (i) employee severance; (ii) management restructuring and related costs; (iii) restructuring and integration; (iv) cost savings initiatives; (v) major litigation; and (vi) acquisition- and disposition-related costs, strategic initiatives and other unusual items. The following table summarizes pre-tax restructuring and other costs for the periods presented:</w:t>
      </w:r>
    </w:p>
    <w:tbl>
      <w:tblPr>
        <w:tblW w:w="9214" w:type="dxa"/>
        <w:jc w:val="center"/>
        <w:tblInd w:w="0" w:type="dxa"/>
        <w:tblLayout w:type="fixed"/>
        <w:tblCellMar>
          <w:top w:w="28" w:type="dxa"/>
          <w:left w:w="28" w:type="dxa"/>
          <w:bottom w:w="28" w:type="dxa"/>
          <w:right w:w="28" w:type="dxa"/>
        </w:tblCellMar>
      </w:tblPr>
      <w:tblGrid>
        <w:gridCol w:w="1351"/>
        <w:gridCol w:w="1188"/>
        <w:gridCol w:w="1196"/>
        <w:gridCol w:w="305"/>
        <w:gridCol w:w="522"/>
        <w:gridCol w:w="157"/>
        <w:gridCol w:w="157"/>
        <w:gridCol w:w="157"/>
        <w:gridCol w:w="157"/>
        <w:gridCol w:w="305"/>
        <w:gridCol w:w="522"/>
        <w:gridCol w:w="157"/>
        <w:gridCol w:w="109"/>
        <w:gridCol w:w="109"/>
        <w:gridCol w:w="109"/>
        <w:gridCol w:w="279"/>
        <w:gridCol w:w="477"/>
        <w:gridCol w:w="144"/>
        <w:gridCol w:w="144"/>
        <w:gridCol w:w="144"/>
        <w:gridCol w:w="144"/>
        <w:gridCol w:w="279"/>
        <w:gridCol w:w="477"/>
        <w:gridCol w:w="144"/>
        <w:gridCol w:w="109"/>
        <w:gridCol w:w="109"/>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severance and related</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and related (see Note 15)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initiatives, acquisitions and related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acquisition consideration</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33"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Represents contingent consideration fair value adjustment (see Note 11).</w:t>
            </w:r>
          </w:p>
        </w:tc>
        <w:tc>
          <w:tcPr>
            <w:tcW w:w="481" w:type="dxa"/>
            <w:gridSpan w:val="4"/>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024" w:type="dxa"/>
            <w:gridSpan w:val="19"/>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024" w:type="dxa"/>
            <w:gridSpan w:val="19"/>
            <w:tcBorders/>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(5) Receivables, Allowance for Credit Losses and Credit Quality of Receivables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current and long-term receivables, net:</w:t>
      </w:r>
    </w:p>
    <w:tbl>
      <w:tblPr>
        <w:tblW w:w="5366" w:type="dxa"/>
        <w:jc w:val="left"/>
        <w:tblInd w:w="0" w:type="dxa"/>
        <w:tblLayout w:type="fixed"/>
        <w:tblCellMar>
          <w:top w:w="28" w:type="dxa"/>
          <w:left w:w="28" w:type="dxa"/>
          <w:bottom w:w="28" w:type="dxa"/>
          <w:right w:w="28" w:type="dxa"/>
        </w:tblCellMar>
      </w:tblPr>
      <w:tblGrid>
        <w:gridCol w:w="828"/>
        <w:gridCol w:w="729"/>
        <w:gridCol w:w="737"/>
        <w:gridCol w:w="310"/>
        <w:gridCol w:w="685"/>
        <w:gridCol w:w="160"/>
        <w:gridCol w:w="109"/>
        <w:gridCol w:w="109"/>
        <w:gridCol w:w="109"/>
        <w:gridCol w:w="402"/>
        <w:gridCol w:w="891"/>
        <w:gridCol w:w="297"/>
      </w:tblGrid>
      <w:tr>
        <w:trPr/>
        <w:tc>
          <w:tcPr>
            <w:tcW w:w="8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receivables, net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receivables, net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receivables, net </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072"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receivable portfolios using both geography and delinquency as key credit quality indicators. The following table summarizes geographical delinquencies of total receivables, net:</w:t>
      </w:r>
    </w:p>
    <w:tbl>
      <w:tblPr>
        <w:tblW w:w="10079" w:type="dxa"/>
        <w:jc w:val="center"/>
        <w:tblInd w:w="0" w:type="dxa"/>
        <w:tblLayout w:type="fixed"/>
        <w:tblCellMar>
          <w:top w:w="28" w:type="dxa"/>
          <w:left w:w="28" w:type="dxa"/>
          <w:bottom w:w="28" w:type="dxa"/>
          <w:right w:w="28" w:type="dxa"/>
        </w:tblCellMar>
      </w:tblPr>
      <w:tblGrid>
        <w:gridCol w:w="862"/>
        <w:gridCol w:w="761"/>
        <w:gridCol w:w="762"/>
        <w:gridCol w:w="211"/>
        <w:gridCol w:w="466"/>
        <w:gridCol w:w="109"/>
        <w:gridCol w:w="109"/>
        <w:gridCol w:w="109"/>
        <w:gridCol w:w="109"/>
        <w:gridCol w:w="771"/>
        <w:gridCol w:w="1318"/>
        <w:gridCol w:w="400"/>
        <w:gridCol w:w="109"/>
        <w:gridCol w:w="109"/>
        <w:gridCol w:w="109"/>
        <w:gridCol w:w="234"/>
        <w:gridCol w:w="517"/>
        <w:gridCol w:w="120"/>
        <w:gridCol w:w="120"/>
        <w:gridCol w:w="120"/>
        <w:gridCol w:w="120"/>
        <w:gridCol w:w="736"/>
        <w:gridCol w:w="1260"/>
        <w:gridCol w:w="538"/>
      </w:tblGrid>
      <w:tr>
        <w:trPr/>
        <w:tc>
          <w:tcPr>
            <w:tcW w:w="86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receivables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allowance: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receivables allowance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 balances are charged against the allowances after all internal and external collection efforts have been exhausted and the potential for recovery is considered remote.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our allowance for receivable credit losses for each of the three and six months ended June 30, 2026 and 2025 is as follows:</w:t>
      </w:r>
    </w:p>
    <w:tbl>
      <w:tblPr>
        <w:tblW w:w="8643" w:type="dxa"/>
        <w:jc w:val="center"/>
        <w:tblInd w:w="0" w:type="dxa"/>
        <w:tblLayout w:type="fixed"/>
        <w:tblCellMar>
          <w:top w:w="28" w:type="dxa"/>
          <w:left w:w="28" w:type="dxa"/>
          <w:bottom w:w="28" w:type="dxa"/>
          <w:right w:w="28" w:type="dxa"/>
        </w:tblCellMar>
      </w:tblPr>
      <w:tblGrid>
        <w:gridCol w:w="1282"/>
        <w:gridCol w:w="1125"/>
        <w:gridCol w:w="1132"/>
        <w:gridCol w:w="211"/>
        <w:gridCol w:w="436"/>
        <w:gridCol w:w="109"/>
        <w:gridCol w:w="109"/>
        <w:gridCol w:w="109"/>
        <w:gridCol w:w="109"/>
        <w:gridCol w:w="402"/>
        <w:gridCol w:w="831"/>
        <w:gridCol w:w="207"/>
        <w:gridCol w:w="109"/>
        <w:gridCol w:w="109"/>
        <w:gridCol w:w="109"/>
        <w:gridCol w:w="341"/>
        <w:gridCol w:w="608"/>
        <w:gridCol w:w="177"/>
        <w:gridCol w:w="109"/>
        <w:gridCol w:w="109"/>
        <w:gridCol w:w="109"/>
        <w:gridCol w:w="211"/>
        <w:gridCol w:w="436"/>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 and Canada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March 31</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recoveries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as of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2% and 3%, respectively, of our total receivables, net, were past due by over 90 days.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Quality of Receivables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and Argentina. The following table summarizes our LATAM receivables:</w:t>
      </w:r>
    </w:p>
    <w:tbl>
      <w:tblPr>
        <w:tblW w:w="6899" w:type="dxa"/>
        <w:jc w:val="center"/>
        <w:tblInd w:w="0" w:type="dxa"/>
        <w:tblLayout w:type="fixed"/>
        <w:tblCellMar>
          <w:top w:w="28" w:type="dxa"/>
          <w:left w:w="28" w:type="dxa"/>
          <w:bottom w:w="28" w:type="dxa"/>
          <w:right w:w="28" w:type="dxa"/>
        </w:tblCellMar>
      </w:tblPr>
      <w:tblGrid>
        <w:gridCol w:w="830"/>
        <w:gridCol w:w="731"/>
        <w:gridCol w:w="733"/>
        <w:gridCol w:w="211"/>
        <w:gridCol w:w="361"/>
        <w:gridCol w:w="109"/>
        <w:gridCol w:w="109"/>
        <w:gridCol w:w="109"/>
        <w:gridCol w:w="109"/>
        <w:gridCol w:w="228"/>
        <w:gridCol w:w="390"/>
        <w:gridCol w:w="118"/>
        <w:gridCol w:w="109"/>
        <w:gridCol w:w="109"/>
        <w:gridCol w:w="109"/>
        <w:gridCol w:w="859"/>
        <w:gridCol w:w="1043"/>
        <w:gridCol w:w="632"/>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Balances over 90 days past due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receivables is estimated by discounting expected future cash flows using current interest rates at which similar loans would be made to borrowers with similar credit ratings and remaining maturities. As of June 30, 2026 and December 31, 2025, the fair value of receivables, net, approximated the carrying value due to contractual terms of receivables generally being less than 24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(6) Inventories,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5589" w:type="dxa"/>
        <w:jc w:val="left"/>
        <w:tblInd w:w="0" w:type="dxa"/>
        <w:tblLayout w:type="fixed"/>
        <w:tblCellMar>
          <w:top w:w="28" w:type="dxa"/>
          <w:left w:w="28" w:type="dxa"/>
          <w:bottom w:w="28" w:type="dxa"/>
          <w:right w:w="28" w:type="dxa"/>
        </w:tblCellMar>
      </w:tblPr>
      <w:tblGrid>
        <w:gridCol w:w="793"/>
        <w:gridCol w:w="697"/>
        <w:gridCol w:w="700"/>
        <w:gridCol w:w="109"/>
        <w:gridCol w:w="109"/>
        <w:gridCol w:w="109"/>
        <w:gridCol w:w="310"/>
        <w:gridCol w:w="685"/>
        <w:gridCol w:w="160"/>
        <w:gridCol w:w="109"/>
        <w:gridCol w:w="109"/>
        <w:gridCol w:w="109"/>
        <w:gridCol w:w="402"/>
        <w:gridCol w:w="891"/>
        <w:gridCol w:w="29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work-in-process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Parts and work-in-process include parts for gaming machines and our finished goods inventory primarily consist of gaming machines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(7) Property and Equipment,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699" w:type="dxa"/>
        <w:jc w:val="center"/>
        <w:tblInd w:w="0" w:type="dxa"/>
        <w:tblLayout w:type="fixed"/>
        <w:tblCellMar>
          <w:top w:w="28" w:type="dxa"/>
          <w:left w:w="28" w:type="dxa"/>
          <w:bottom w:w="28" w:type="dxa"/>
          <w:right w:w="28" w:type="dxa"/>
        </w:tblCellMar>
      </w:tblPr>
      <w:tblGrid>
        <w:gridCol w:w="1195"/>
        <w:gridCol w:w="1047"/>
        <w:gridCol w:w="1058"/>
        <w:gridCol w:w="109"/>
        <w:gridCol w:w="109"/>
        <w:gridCol w:w="109"/>
        <w:gridCol w:w="310"/>
        <w:gridCol w:w="685"/>
        <w:gridCol w:w="160"/>
        <w:gridCol w:w="109"/>
        <w:gridCol w:w="109"/>
        <w:gridCol w:w="109"/>
        <w:gridCol w:w="402"/>
        <w:gridCol w:w="891"/>
        <w:gridCol w:w="297"/>
      </w:tblGrid>
      <w:tr>
        <w:trPr/>
        <w:tc>
          <w:tcPr>
            <w:tcW w:w="1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is excluded from cost of services, cost of products and other operating expenses and is separately presented within D&amp;A.</w:t>
      </w:r>
    </w:p>
    <w:tbl>
      <w:tblPr>
        <w:tblW w:w="6917" w:type="dxa"/>
        <w:jc w:val="left"/>
        <w:tblInd w:w="0" w:type="dxa"/>
        <w:tblLayout w:type="fixed"/>
        <w:tblCellMar>
          <w:top w:w="28" w:type="dxa"/>
          <w:left w:w="28" w:type="dxa"/>
          <w:bottom w:w="28" w:type="dxa"/>
          <w:right w:w="28" w:type="dxa"/>
        </w:tblCellMar>
      </w:tblPr>
      <w:tblGrid>
        <w:gridCol w:w="679"/>
        <w:gridCol w:w="597"/>
        <w:gridCol w:w="599"/>
        <w:gridCol w:w="305"/>
        <w:gridCol w:w="522"/>
        <w:gridCol w:w="157"/>
        <w:gridCol w:w="157"/>
        <w:gridCol w:w="157"/>
        <w:gridCol w:w="157"/>
        <w:gridCol w:w="305"/>
        <w:gridCol w:w="522"/>
        <w:gridCol w:w="157"/>
        <w:gridCol w:w="109"/>
        <w:gridCol w:w="109"/>
        <w:gridCol w:w="109"/>
        <w:gridCol w:w="277"/>
        <w:gridCol w:w="474"/>
        <w:gridCol w:w="143"/>
        <w:gridCol w:w="143"/>
        <w:gridCol w:w="143"/>
        <w:gridCol w:w="143"/>
        <w:gridCol w:w="277"/>
        <w:gridCol w:w="474"/>
        <w:gridCol w:w="202"/>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(8) Intangible Assets, net and Goodwill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information regarding our intangible assets as of June 30, 2026 and December 31, 2025.</w:t>
      </w:r>
    </w:p>
    <w:tbl>
      <w:tblPr>
        <w:tblW w:w="10205" w:type="dxa"/>
        <w:jc w:val="center"/>
        <w:tblInd w:w="0" w:type="dxa"/>
        <w:tblLayout w:type="fixed"/>
        <w:tblCellMar>
          <w:top w:w="28" w:type="dxa"/>
          <w:left w:w="28" w:type="dxa"/>
          <w:bottom w:w="28" w:type="dxa"/>
          <w:right w:w="28" w:type="dxa"/>
        </w:tblCellMar>
      </w:tblPr>
      <w:tblGrid>
        <w:gridCol w:w="718"/>
        <w:gridCol w:w="612"/>
        <w:gridCol w:w="616"/>
        <w:gridCol w:w="256"/>
        <w:gridCol w:w="749"/>
        <w:gridCol w:w="132"/>
        <w:gridCol w:w="109"/>
        <w:gridCol w:w="109"/>
        <w:gridCol w:w="109"/>
        <w:gridCol w:w="249"/>
        <w:gridCol w:w="747"/>
        <w:gridCol w:w="130"/>
        <w:gridCol w:w="109"/>
        <w:gridCol w:w="109"/>
        <w:gridCol w:w="109"/>
        <w:gridCol w:w="109"/>
        <w:gridCol w:w="245"/>
        <w:gridCol w:w="542"/>
        <w:gridCol w:w="126"/>
        <w:gridCol w:w="109"/>
        <w:gridCol w:w="109"/>
        <w:gridCol w:w="109"/>
        <w:gridCol w:w="256"/>
        <w:gridCol w:w="749"/>
        <w:gridCol w:w="132"/>
        <w:gridCol w:w="109"/>
        <w:gridCol w:w="109"/>
        <w:gridCol w:w="109"/>
        <w:gridCol w:w="249"/>
        <w:gridCol w:w="747"/>
        <w:gridCol w:w="130"/>
        <w:gridCol w:w="109"/>
        <w:gridCol w:w="109"/>
        <w:gridCol w:w="109"/>
        <w:gridCol w:w="245"/>
        <w:gridCol w:w="542"/>
        <w:gridCol w:w="126"/>
        <w:gridCol w:w="163"/>
      </w:tblGrid>
      <w:tr>
        <w:trPr/>
        <w:tc>
          <w:tcPr>
            <w:tcW w:w="7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3" w:type="dxa"/>
            <w:gridSpan w:val="3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Balance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Intellectual property</w:t>
            </w:r>
            <w:r>
              <w:rPr>
                <w:color w:val="000000"/>
              </w:rPr>
              <w:t xml:space="preserve">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Brand names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other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8259" w:type="dxa"/>
            <w:gridSpan w:val="3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intangible amortization expense included within D&amp;A:</w:t>
      </w:r>
    </w:p>
    <w:tbl>
      <w:tblPr>
        <w:tblW w:w="10205" w:type="dxa"/>
        <w:jc w:val="center"/>
        <w:tblInd w:w="0" w:type="dxa"/>
        <w:tblLayout w:type="fixed"/>
        <w:tblCellMar>
          <w:top w:w="28" w:type="dxa"/>
          <w:left w:w="28" w:type="dxa"/>
          <w:bottom w:w="28" w:type="dxa"/>
          <w:right w:w="28" w:type="dxa"/>
        </w:tblCellMar>
      </w:tblPr>
      <w:tblGrid>
        <w:gridCol w:w="1060"/>
        <w:gridCol w:w="931"/>
        <w:gridCol w:w="936"/>
        <w:gridCol w:w="437"/>
        <w:gridCol w:w="748"/>
        <w:gridCol w:w="225"/>
        <w:gridCol w:w="225"/>
        <w:gridCol w:w="225"/>
        <w:gridCol w:w="225"/>
        <w:gridCol w:w="437"/>
        <w:gridCol w:w="748"/>
        <w:gridCol w:w="225"/>
        <w:gridCol w:w="162"/>
        <w:gridCol w:w="162"/>
        <w:gridCol w:w="162"/>
        <w:gridCol w:w="400"/>
        <w:gridCol w:w="685"/>
        <w:gridCol w:w="206"/>
        <w:gridCol w:w="206"/>
        <w:gridCol w:w="206"/>
        <w:gridCol w:w="206"/>
        <w:gridCol w:w="400"/>
        <w:gridCol w:w="685"/>
        <w:gridCol w:w="30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expense</w:t>
            </w:r>
            <w:r>
              <w:rPr>
                <w:rFonts w:ascii="Times New Roman;serif" w:hAnsi="Times New Roman;serif"/>
                <w:b w:val="false"/>
                <w:color w:val="000000"/>
                <w:sz w:val="13"/>
              </w:rPr>
              <w:t>(1)</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The three and six months ended June 30, 2026 include an intangible assets non-cash impairment charge of $8 million related to a SciPlay studio restructuring.</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7278"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carrying value of goodwill, by reportable segment, for the period from December 31, 2025 to June 30, 2026.</w:t>
      </w:r>
    </w:p>
    <w:tbl>
      <w:tblPr>
        <w:tblW w:w="7898" w:type="dxa"/>
        <w:jc w:val="center"/>
        <w:tblInd w:w="0" w:type="dxa"/>
        <w:tblLayout w:type="fixed"/>
        <w:tblCellMar>
          <w:top w:w="28" w:type="dxa"/>
          <w:left w:w="28" w:type="dxa"/>
          <w:bottom w:w="28" w:type="dxa"/>
          <w:right w:w="28" w:type="dxa"/>
        </w:tblCellMar>
      </w:tblPr>
      <w:tblGrid>
        <w:gridCol w:w="1108"/>
        <w:gridCol w:w="973"/>
        <w:gridCol w:w="976"/>
        <w:gridCol w:w="228"/>
        <w:gridCol w:w="668"/>
        <w:gridCol w:w="118"/>
        <w:gridCol w:w="118"/>
        <w:gridCol w:w="118"/>
        <w:gridCol w:w="118"/>
        <w:gridCol w:w="228"/>
        <w:gridCol w:w="505"/>
        <w:gridCol w:w="118"/>
        <w:gridCol w:w="118"/>
        <w:gridCol w:w="118"/>
        <w:gridCol w:w="118"/>
        <w:gridCol w:w="228"/>
        <w:gridCol w:w="505"/>
        <w:gridCol w:w="118"/>
        <w:gridCol w:w="118"/>
        <w:gridCol w:w="118"/>
        <w:gridCol w:w="118"/>
        <w:gridCol w:w="228"/>
        <w:gridCol w:w="668"/>
        <w:gridCol w:w="167"/>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Gaming</w:t>
            </w:r>
            <w:r>
              <w:rPr>
                <w:rFonts w:ascii="Times New Roman;serif" w:hAnsi="Times New Roman;serif"/>
                <w:b/>
                <w:color w:val="000000"/>
                <w:sz w:val="12"/>
              </w:rPr>
              <w:t>(1)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SciPlay</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iGaming</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Totals</w:t>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3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8" w:type="dxa"/>
            <w:gridSpan w:val="24"/>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Accumulated goodwill impairment charges for the Gaming segment as of June 30, 2026 were $989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(9) Software, net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capitalize direct costs for internal-use software projects when it is probable that the project will be completed and the software will be used as intended. Costs incurred prior to meeting the probable threshold and post-implementation maintenance costs are expensed as incurred. Capitalized costs are amortized on a straight-line basis over the estimated useful life, generally 2 to 10 years.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license and incur costs to develop external use software and game themes (collectively referred to as software) to be used in the products we sell, lease or market to customers. Costs incurred in creating software are expensed when incurred as R&amp;D until technological feasibility has been established, after which costs are capitalized up to the date the software is available for general release to customers. Generally, the software we develop reaches technological feasibility when a working model of the software is available. We capitalize the payments made for software that we purchase or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for use in our products that has previously met the technological feasibility criteria prior to our purchase or license. Additionally, we incur and capitalize regulatory approval costs for our game themes after technological feasibility is achieved. Amortization of capitalized software costs is recorded over the estimated economic life, which is typically 2 to 10 years.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Software, net consisted of the following:</w:t>
      </w:r>
    </w:p>
    <w:tbl>
      <w:tblPr>
        <w:tblW w:w="5678" w:type="dxa"/>
        <w:jc w:val="center"/>
        <w:tblInd w:w="0" w:type="dxa"/>
        <w:tblLayout w:type="fixed"/>
        <w:tblCellMar>
          <w:top w:w="28" w:type="dxa"/>
          <w:left w:w="28" w:type="dxa"/>
          <w:bottom w:w="28" w:type="dxa"/>
          <w:right w:w="28" w:type="dxa"/>
        </w:tblCellMar>
      </w:tblPr>
      <w:tblGrid>
        <w:gridCol w:w="824"/>
        <w:gridCol w:w="725"/>
        <w:gridCol w:w="731"/>
        <w:gridCol w:w="109"/>
        <w:gridCol w:w="109"/>
        <w:gridCol w:w="109"/>
        <w:gridCol w:w="260"/>
        <w:gridCol w:w="760"/>
        <w:gridCol w:w="134"/>
        <w:gridCol w:w="109"/>
        <w:gridCol w:w="109"/>
        <w:gridCol w:w="109"/>
        <w:gridCol w:w="342"/>
        <w:gridCol w:w="999"/>
        <w:gridCol w:w="249"/>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reflects amortization of software included within D&amp;A:</w:t>
      </w:r>
    </w:p>
    <w:tbl>
      <w:tblPr>
        <w:tblW w:w="6947" w:type="dxa"/>
        <w:jc w:val="center"/>
        <w:tblInd w:w="0" w:type="dxa"/>
        <w:tblLayout w:type="fixed"/>
        <w:tblCellMar>
          <w:top w:w="28" w:type="dxa"/>
          <w:left w:w="28" w:type="dxa"/>
          <w:bottom w:w="28" w:type="dxa"/>
          <w:right w:w="28" w:type="dxa"/>
        </w:tblCellMar>
      </w:tblPr>
      <w:tblGrid>
        <w:gridCol w:w="690"/>
        <w:gridCol w:w="606"/>
        <w:gridCol w:w="609"/>
        <w:gridCol w:w="305"/>
        <w:gridCol w:w="522"/>
        <w:gridCol w:w="157"/>
        <w:gridCol w:w="157"/>
        <w:gridCol w:w="157"/>
        <w:gridCol w:w="157"/>
        <w:gridCol w:w="305"/>
        <w:gridCol w:w="522"/>
        <w:gridCol w:w="157"/>
        <w:gridCol w:w="109"/>
        <w:gridCol w:w="109"/>
        <w:gridCol w:w="109"/>
        <w:gridCol w:w="277"/>
        <w:gridCol w:w="474"/>
        <w:gridCol w:w="143"/>
        <w:gridCol w:w="143"/>
        <w:gridCol w:w="143"/>
        <w:gridCol w:w="143"/>
        <w:gridCol w:w="277"/>
        <w:gridCol w:w="474"/>
        <w:gridCol w:w="202"/>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our outstanding debt (in order of priority and maturity):</w:t>
      </w:r>
    </w:p>
    <w:tbl>
      <w:tblPr>
        <w:tblW w:w="10205" w:type="dxa"/>
        <w:jc w:val="center"/>
        <w:tblInd w:w="0" w:type="dxa"/>
        <w:tblLayout w:type="fixed"/>
        <w:tblCellMar>
          <w:top w:w="28" w:type="dxa"/>
          <w:left w:w="28" w:type="dxa"/>
          <w:bottom w:w="28" w:type="dxa"/>
          <w:right w:w="28" w:type="dxa"/>
        </w:tblCellMar>
      </w:tblPr>
      <w:tblGrid>
        <w:gridCol w:w="722"/>
        <w:gridCol w:w="485"/>
        <w:gridCol w:w="488"/>
        <w:gridCol w:w="300"/>
        <w:gridCol w:w="300"/>
        <w:gridCol w:w="301"/>
        <w:gridCol w:w="109"/>
        <w:gridCol w:w="109"/>
        <w:gridCol w:w="109"/>
        <w:gridCol w:w="254"/>
        <w:gridCol w:w="254"/>
        <w:gridCol w:w="258"/>
        <w:gridCol w:w="109"/>
        <w:gridCol w:w="109"/>
        <w:gridCol w:w="109"/>
        <w:gridCol w:w="211"/>
        <w:gridCol w:w="617"/>
        <w:gridCol w:w="109"/>
        <w:gridCol w:w="109"/>
        <w:gridCol w:w="109"/>
        <w:gridCol w:w="109"/>
        <w:gridCol w:w="633"/>
        <w:gridCol w:w="1221"/>
        <w:gridCol w:w="330"/>
        <w:gridCol w:w="109"/>
        <w:gridCol w:w="109"/>
        <w:gridCol w:w="109"/>
        <w:gridCol w:w="214"/>
        <w:gridCol w:w="627"/>
        <w:gridCol w:w="110"/>
        <w:gridCol w:w="109"/>
        <w:gridCol w:w="109"/>
        <w:gridCol w:w="109"/>
        <w:gridCol w:w="243"/>
        <w:gridCol w:w="709"/>
        <w:gridCol w:w="184"/>
      </w:tblGrid>
      <w:tr>
        <w:trPr/>
        <w:tc>
          <w:tcPr>
            <w:tcW w:w="72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Final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Face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Unamortized debt discount/premium and deferred financing costs,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Book Value</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Facilities: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Revolver</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A</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Term Loan B</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LNWI Senior Notes:</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Unsecured Notes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Unsecured Notes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outstanding</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excluding current portion</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of debt</w:t>
            </w:r>
            <w:r>
              <w:rPr>
                <w:rFonts w:ascii="Times New Roman;serif" w:hAnsi="Times New Roman;serif"/>
                <w:b w:val="false"/>
                <w:color w:val="000000"/>
                <w:sz w:val="13"/>
              </w:rPr>
              <w:t>(1)</w:t>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8510" w:type="dxa"/>
            <w:gridSpan w:val="33"/>
            <w:tcBorders/>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Fair value of our fixed rate and variable interest rate debt is classified within Level 2 in the fair value hierarchy and has been calculated based on the quoted market prices of our securities.</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LNWI Term Loan B Repricing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22, 2026, we amended the LNWI Credit Agreement and reduced the applicable margin on the LNWI Term Loan B. Following the amendment, the interest rate for the Term Loan B is either (i) the Adjusted Term SOFR Rate (as defined in the LNWI Credit Agreement) plus 2.00% per annum or (ii) a base rate plus 1.00% per annum.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 compliance with the financial covenants under all debt agreements as of June 30, 2026 (for information regarding the financial covenants of all our debt agreements, see above and Note 14 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terms of our credit facilities and Senior Notes, see Note 14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held the following derivative instruments that were accounted for pursuant to ASC 815:</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Rate Swap Contracts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interest rate swap contracts as described below to manage exposure to interest rate fluctuations by reducing the uncertainty of future cash flows on a portion of our variable rate debt.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June 30, 2026. These hedges mature in April 2027.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(loss) gain and interest income on our interest rate swap contracts:</w:t>
      </w:r>
    </w:p>
    <w:tbl>
      <w:tblPr>
        <w:tblW w:w="10205" w:type="dxa"/>
        <w:jc w:val="center"/>
        <w:tblInd w:w="0" w:type="dxa"/>
        <w:tblLayout w:type="fixed"/>
        <w:tblCellMar>
          <w:top w:w="28" w:type="dxa"/>
          <w:left w:w="28" w:type="dxa"/>
          <w:bottom w:w="28" w:type="dxa"/>
          <w:right w:w="28" w:type="dxa"/>
        </w:tblCellMar>
      </w:tblPr>
      <w:tblGrid>
        <w:gridCol w:w="1992"/>
        <w:gridCol w:w="1752"/>
        <w:gridCol w:w="1760"/>
        <w:gridCol w:w="281"/>
        <w:gridCol w:w="542"/>
        <w:gridCol w:w="145"/>
        <w:gridCol w:w="145"/>
        <w:gridCol w:w="145"/>
        <w:gridCol w:w="145"/>
        <w:gridCol w:w="281"/>
        <w:gridCol w:w="429"/>
        <w:gridCol w:w="145"/>
        <w:gridCol w:w="109"/>
        <w:gridCol w:w="109"/>
        <w:gridCol w:w="109"/>
        <w:gridCol w:w="280"/>
        <w:gridCol w:w="340"/>
        <w:gridCol w:w="144"/>
        <w:gridCol w:w="144"/>
        <w:gridCol w:w="144"/>
        <w:gridCol w:w="144"/>
        <w:gridCol w:w="280"/>
        <w:gridCol w:w="426"/>
        <w:gridCol w:w="214"/>
      </w:tblGrid>
      <w:tr>
        <w:trPr/>
        <w:tc>
          <w:tcPr>
            <w:tcW w:w="199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recorded in accumulated other comprehensive loss, net of tax</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related to interest rate swap contracts recorded in interest expense</w:t>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of interest rate swap contracts designated as cash flow hedges on interest expense in the consolidated statements of income:</w:t>
      </w:r>
    </w:p>
    <w:tbl>
      <w:tblPr>
        <w:tblW w:w="10205" w:type="dxa"/>
        <w:jc w:val="center"/>
        <w:tblInd w:w="0" w:type="dxa"/>
        <w:tblLayout w:type="fixed"/>
        <w:tblCellMar>
          <w:top w:w="28" w:type="dxa"/>
          <w:left w:w="28" w:type="dxa"/>
          <w:bottom w:w="28" w:type="dxa"/>
          <w:right w:w="28" w:type="dxa"/>
        </w:tblCellMar>
      </w:tblPr>
      <w:tblGrid>
        <w:gridCol w:w="1909"/>
        <w:gridCol w:w="1658"/>
        <w:gridCol w:w="1672"/>
        <w:gridCol w:w="274"/>
        <w:gridCol w:w="563"/>
        <w:gridCol w:w="141"/>
        <w:gridCol w:w="141"/>
        <w:gridCol w:w="141"/>
        <w:gridCol w:w="141"/>
        <w:gridCol w:w="274"/>
        <w:gridCol w:w="563"/>
        <w:gridCol w:w="141"/>
        <w:gridCol w:w="109"/>
        <w:gridCol w:w="109"/>
        <w:gridCol w:w="109"/>
        <w:gridCol w:w="227"/>
        <w:gridCol w:w="580"/>
        <w:gridCol w:w="117"/>
        <w:gridCol w:w="117"/>
        <w:gridCol w:w="117"/>
        <w:gridCol w:w="117"/>
        <w:gridCol w:w="227"/>
        <w:gridCol w:w="580"/>
        <w:gridCol w:w="178"/>
      </w:tblGrid>
      <w:tr>
        <w:trPr/>
        <w:tc>
          <w:tcPr>
            <w:tcW w:w="19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 which reflects the effects of cash flow hedges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Hedged item</w:t>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designated as hedging instrument</w:t>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fair value of our hedges:</w:t>
      </w:r>
    </w:p>
    <w:tbl>
      <w:tblPr>
        <w:tblW w:w="9514" w:type="dxa"/>
        <w:jc w:val="center"/>
        <w:tblInd w:w="0" w:type="dxa"/>
        <w:tblLayout w:type="fixed"/>
        <w:tblCellMar>
          <w:top w:w="28" w:type="dxa"/>
          <w:left w:w="28" w:type="dxa"/>
          <w:bottom w:w="28" w:type="dxa"/>
          <w:right w:w="28" w:type="dxa"/>
        </w:tblCellMar>
      </w:tblPr>
      <w:tblGrid>
        <w:gridCol w:w="574"/>
        <w:gridCol w:w="505"/>
        <w:gridCol w:w="510"/>
        <w:gridCol w:w="109"/>
        <w:gridCol w:w="109"/>
        <w:gridCol w:w="109"/>
        <w:gridCol w:w="1398"/>
        <w:gridCol w:w="1398"/>
        <w:gridCol w:w="1404"/>
        <w:gridCol w:w="109"/>
        <w:gridCol w:w="109"/>
        <w:gridCol w:w="109"/>
        <w:gridCol w:w="423"/>
        <w:gridCol w:w="513"/>
        <w:gridCol w:w="218"/>
        <w:gridCol w:w="109"/>
        <w:gridCol w:w="109"/>
        <w:gridCol w:w="109"/>
        <w:gridCol w:w="434"/>
        <w:gridCol w:w="837"/>
        <w:gridCol w:w="319"/>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Hedge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deposits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7925" w:type="dxa"/>
            <w:gridSpan w:val="18"/>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7925" w:type="dxa"/>
            <w:gridSpan w:val="18"/>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7925" w:type="dxa"/>
            <w:gridSpan w:val="18"/>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7925" w:type="dxa"/>
            <w:gridSpan w:val="18"/>
            <w:tcBorders/>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7925"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Contingent Acquisition Consideration Liabilities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redemption value). The inputs used to measure the fair value of our liabilities are categorized as Level 3 in the fair value hierarchy.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change in the contingent acquisition consideration liabilities (including deferred purchase price) for the period from December 31, 2025 to June 30, 2026.</w:t>
      </w:r>
    </w:p>
    <w:tbl>
      <w:tblPr>
        <w:tblW w:w="10205" w:type="dxa"/>
        <w:jc w:val="left"/>
        <w:tblInd w:w="0" w:type="dxa"/>
        <w:tblLayout w:type="fixed"/>
        <w:tblCellMar>
          <w:top w:w="28" w:type="dxa"/>
          <w:left w:w="28" w:type="dxa"/>
          <w:bottom w:w="28" w:type="dxa"/>
          <w:right w:w="28" w:type="dxa"/>
        </w:tblCellMar>
      </w:tblPr>
      <w:tblGrid>
        <w:gridCol w:w="1043"/>
        <w:gridCol w:w="917"/>
        <w:gridCol w:w="919"/>
        <w:gridCol w:w="304"/>
        <w:gridCol w:w="521"/>
        <w:gridCol w:w="157"/>
        <w:gridCol w:w="157"/>
        <w:gridCol w:w="157"/>
        <w:gridCol w:w="157"/>
        <w:gridCol w:w="730"/>
        <w:gridCol w:w="1248"/>
        <w:gridCol w:w="380"/>
        <w:gridCol w:w="157"/>
        <w:gridCol w:w="157"/>
        <w:gridCol w:w="157"/>
        <w:gridCol w:w="882"/>
        <w:gridCol w:w="1508"/>
        <w:gridCol w:w="6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Accrued Liabilities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Included in Other Long-Term Liabilities</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adjustments</w:t>
            </w:r>
            <w:r>
              <w:rPr>
                <w:rFonts w:ascii="Times New Roman;serif" w:hAnsi="Times New Roman;serif"/>
                <w:b w:val="false"/>
                <w:color w:val="000000"/>
                <w:sz w:val="13"/>
              </w:rPr>
              <w:t>(1)</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(2)</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Amount included in Restructuring and other (see Note 4).</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Represents extinguishment of $7 million in redeemable non-controlling interest liability associated with SciPlay’s acquisition of Alictus Yazilim Anonim Şirketi in 2022, as the remaining interests were transferred to the Company during the second quarter of 2026 with no further consideration. The gain was recorded in other income (expense), net in our consolidated statements of operations.</w:t>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7326"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Changes in Stockholders’ Equity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certain information regarding our stockholders’ equity for the six months ended June 30, 2026 and 2025:</w:t>
      </w:r>
    </w:p>
    <w:tbl>
      <w:tblPr>
        <w:tblW w:w="10205" w:type="dxa"/>
        <w:jc w:val="left"/>
        <w:tblInd w:w="0" w:type="dxa"/>
        <w:tblLayout w:type="fixed"/>
        <w:tblCellMar>
          <w:top w:w="28" w:type="dxa"/>
          <w:left w:w="28" w:type="dxa"/>
          <w:bottom w:w="28" w:type="dxa"/>
          <w:right w:w="28" w:type="dxa"/>
        </w:tblCellMar>
      </w:tblPr>
      <w:tblGrid>
        <w:gridCol w:w="988"/>
        <w:gridCol w:w="435"/>
        <w:gridCol w:w="436"/>
        <w:gridCol w:w="328"/>
        <w:gridCol w:w="399"/>
        <w:gridCol w:w="171"/>
        <w:gridCol w:w="109"/>
        <w:gridCol w:w="109"/>
        <w:gridCol w:w="109"/>
        <w:gridCol w:w="252"/>
        <w:gridCol w:w="737"/>
        <w:gridCol w:w="130"/>
        <w:gridCol w:w="109"/>
        <w:gridCol w:w="109"/>
        <w:gridCol w:w="109"/>
        <w:gridCol w:w="232"/>
        <w:gridCol w:w="677"/>
        <w:gridCol w:w="119"/>
        <w:gridCol w:w="109"/>
        <w:gridCol w:w="109"/>
        <w:gridCol w:w="109"/>
        <w:gridCol w:w="219"/>
        <w:gridCol w:w="669"/>
        <w:gridCol w:w="113"/>
        <w:gridCol w:w="109"/>
        <w:gridCol w:w="109"/>
        <w:gridCol w:w="109"/>
        <w:gridCol w:w="423"/>
        <w:gridCol w:w="965"/>
        <w:gridCol w:w="219"/>
        <w:gridCol w:w="109"/>
        <w:gridCol w:w="109"/>
        <w:gridCol w:w="109"/>
        <w:gridCol w:w="109"/>
        <w:gridCol w:w="109"/>
        <w:gridCol w:w="211"/>
        <w:gridCol w:w="466"/>
        <w:gridCol w:w="163"/>
      </w:tblGrid>
      <w:tr>
        <w:trPr/>
        <w:tc>
          <w:tcPr>
            <w:tcW w:w="98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167" w:type="dxa"/>
            <w:gridSpan w:val="6"/>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liability awards</w:t>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treasury stock upon retirement</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8346" w:type="dxa"/>
            <w:gridSpan w:val="35"/>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30"/>
        <w:gridCol w:w="444"/>
        <w:gridCol w:w="445"/>
        <w:gridCol w:w="330"/>
        <w:gridCol w:w="401"/>
        <w:gridCol w:w="171"/>
        <w:gridCol w:w="109"/>
        <w:gridCol w:w="109"/>
        <w:gridCol w:w="109"/>
        <w:gridCol w:w="254"/>
        <w:gridCol w:w="743"/>
        <w:gridCol w:w="131"/>
        <w:gridCol w:w="109"/>
        <w:gridCol w:w="109"/>
        <w:gridCol w:w="109"/>
        <w:gridCol w:w="233"/>
        <w:gridCol w:w="681"/>
        <w:gridCol w:w="120"/>
        <w:gridCol w:w="109"/>
        <w:gridCol w:w="109"/>
        <w:gridCol w:w="109"/>
        <w:gridCol w:w="220"/>
        <w:gridCol w:w="671"/>
        <w:gridCol w:w="113"/>
        <w:gridCol w:w="109"/>
        <w:gridCol w:w="109"/>
        <w:gridCol w:w="109"/>
        <w:gridCol w:w="428"/>
        <w:gridCol w:w="975"/>
        <w:gridCol w:w="221"/>
        <w:gridCol w:w="109"/>
        <w:gridCol w:w="109"/>
        <w:gridCol w:w="109"/>
        <w:gridCol w:w="109"/>
        <w:gridCol w:w="109"/>
        <w:gridCol w:w="211"/>
        <w:gridCol w:w="466"/>
        <w:gridCol w:w="164"/>
      </w:tblGrid>
      <w:tr>
        <w:trPr/>
        <w:tc>
          <w:tcPr>
            <w:tcW w:w="93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6"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950" w:type="dxa"/>
            <w:gridSpan w:val="4"/>
            <w:tcBorders/>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January 1, 2025</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liability awards</w:t>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 and other</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 net of tax withholdings and other</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treasury stock</w:t>
            </w:r>
            <w:r>
              <w:rPr>
                <w:rFonts w:ascii="Times New Roman;serif" w:hAnsi="Times New Roman;serif"/>
                <w:b w:val="false"/>
                <w:color w:val="000000"/>
                <w:sz w:val="13"/>
              </w:rPr>
              <w:t>(1)</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2025</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5" w:type="dxa"/>
            <w:gridSpan w:val="34"/>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Includes excise taxes of $1 million and $2 million for the three and six months ended June 30, 2025, respectively.</w:t>
            </w:r>
          </w:p>
        </w:tc>
        <w:tc>
          <w:tcPr>
            <w:tcW w:w="950" w:type="dxa"/>
            <w:gridSpan w:val="4"/>
            <w:tcBorders/>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Stock-based Compensation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$33 million and $64 million, respectively, in total stock-based compensation expense under all programs. These amounts included $16 million and $30 million, respectively, of stock-based compensation classified as liability awards. For the three and six months ended June 30, 2025, we recognized $31 million and $59 million, respectively, in total stock-based compensation expense under all programs. These amounts included $17 million and $27 million, respectively, of stock-based compensation classified as liability awards.</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changes in RSUs outstanding under our equity-based compensation plans during the six months ended June 30, 2026 is presented below:</w:t>
      </w:r>
    </w:p>
    <w:tbl>
      <w:tblPr>
        <w:tblW w:w="9791" w:type="dxa"/>
        <w:jc w:val="center"/>
        <w:tblInd w:w="0" w:type="dxa"/>
        <w:tblLayout w:type="fixed"/>
        <w:tblCellMar>
          <w:top w:w="28" w:type="dxa"/>
          <w:left w:w="28" w:type="dxa"/>
          <w:bottom w:w="28" w:type="dxa"/>
          <w:right w:w="28" w:type="dxa"/>
        </w:tblCellMar>
      </w:tblPr>
      <w:tblGrid>
        <w:gridCol w:w="1239"/>
        <w:gridCol w:w="1089"/>
        <w:gridCol w:w="1092"/>
        <w:gridCol w:w="904"/>
        <w:gridCol w:w="904"/>
        <w:gridCol w:w="907"/>
        <w:gridCol w:w="109"/>
        <w:gridCol w:w="109"/>
        <w:gridCol w:w="109"/>
        <w:gridCol w:w="716"/>
        <w:gridCol w:w="2091"/>
        <w:gridCol w:w="522"/>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December 31, 2025</w:t>
            </w:r>
          </w:p>
        </w:tc>
        <w:tc>
          <w:tcPr>
            <w:tcW w:w="1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85.64 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1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73.52 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RSUs as of June 30, 2026</w:t>
            </w:r>
          </w:p>
        </w:tc>
        <w:tc>
          <w:tcPr>
            <w:tcW w:w="18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1" w:type="dxa"/>
            <w:gridSpan w:val="9"/>
            <w:tcBorders/>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29"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37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RSUs granted during the six months ended June 30, 2026 and 2025 was $90.21 and $105.28, respectively. The fair value of each RSU grant is based on the market value of our common stock at the time of grant. As of June 30, 2026, we had $116 million of unrecognized stock-based compensation expense relating to unvested RSUs that is expected to be recognized over a weighted-average vesting period of approximately 1.6 years. The fair value at vesting date of RSUs vested during the six months ended June 30, 2026 and 2025 was $114 million and $113 million, respectively.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11, 2024, our Board of Directors (the “Board”) approved a share repurchase program, as amended on July 31, 2025, under which the Company is authorized to repurchase, from time to time through June 12, 2027, up to an aggregate amount of $1.5 billion of shares of outstanding common stock or CDIs. Repurchases under the share repurchase program may be effected at the discretion of the Transaction Committee of the Board through one or more open market repurchases, privately negotiated transactions, including block trades, accelerated share repurchases, issuer tender offers or other derivative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or instruments, “10b5-1” plan, or other financial or other arrangements, or a combination of the foregoing. The share repurchase program may be suspended or discontinued at any time.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approximately 1.8 million CDIs under the repurchase program at an aggregate cost of $156 million, excluding $7 million of excise taxes paid during the period related to purchases made in 2025. On February 19, 2026, we retired all existing treasury shares and restored such shares to the status of authorized but unissued shares in accordance with the Nevada Revised Statutes.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with the prior year as of June 30, 2026.</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income tax expense (including discrete items) was $30 million and $39 million for the three and six months ended June 30, 2026, respectively, and $29 million and $51 million for the three and six months ended June 30, 2025, respectively. For the three and six months ended June 30, 2026, our effective tax rate differed from the U.S. statutory rate of 21%, primarily as a result of foreign earnings and the impact of worldwide tax rates on foreign earnings, along with a reduction in foreign withholding taxes. In all periods, we recorded tax expense relative to pre-tax earnings in jurisdictions without valuation allowances.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(14) Leases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operating lease expense for the three and six months ended June 30, 2026 was $7 million and $14 million, respectively, and $7 million and $13 million for the three and six months ended June 30, 2025, respectively. The total amount of variable and short-term lease payments was immaterial for all periods presented.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and cash flow information related to operating leases is as follows:</w:t>
      </w:r>
    </w:p>
    <w:tbl>
      <w:tblPr>
        <w:tblW w:w="6895" w:type="dxa"/>
        <w:jc w:val="left"/>
        <w:tblInd w:w="0" w:type="dxa"/>
        <w:tblLayout w:type="fixed"/>
        <w:tblCellMar>
          <w:top w:w="28" w:type="dxa"/>
          <w:left w:w="28" w:type="dxa"/>
          <w:bottom w:w="28" w:type="dxa"/>
          <w:right w:w="28" w:type="dxa"/>
        </w:tblCellMar>
      </w:tblPr>
      <w:tblGrid>
        <w:gridCol w:w="1385"/>
        <w:gridCol w:w="1216"/>
        <w:gridCol w:w="1223"/>
        <w:gridCol w:w="289"/>
        <w:gridCol w:w="495"/>
        <w:gridCol w:w="371"/>
        <w:gridCol w:w="109"/>
        <w:gridCol w:w="109"/>
        <w:gridCol w:w="109"/>
        <w:gridCol w:w="376"/>
        <w:gridCol w:w="646"/>
        <w:gridCol w:w="567"/>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tbl>
      <w:tblPr>
        <w:tblW w:w="8359" w:type="dxa"/>
        <w:jc w:val="left"/>
        <w:tblInd w:w="0" w:type="dxa"/>
        <w:tblLayout w:type="fixed"/>
        <w:tblCellMar>
          <w:top w:w="28" w:type="dxa"/>
          <w:left w:w="28" w:type="dxa"/>
          <w:bottom w:w="28" w:type="dxa"/>
          <w:right w:w="28" w:type="dxa"/>
        </w:tblCellMar>
      </w:tblPr>
      <w:tblGrid>
        <w:gridCol w:w="2126"/>
        <w:gridCol w:w="1864"/>
        <w:gridCol w:w="1874"/>
        <w:gridCol w:w="279"/>
        <w:gridCol w:w="477"/>
        <w:gridCol w:w="144"/>
        <w:gridCol w:w="144"/>
        <w:gridCol w:w="144"/>
        <w:gridCol w:w="144"/>
        <w:gridCol w:w="279"/>
        <w:gridCol w:w="477"/>
        <w:gridCol w:w="144"/>
        <w:gridCol w:w="109"/>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liabilities:</w:t>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liability maturities:</w:t>
      </w:r>
    </w:p>
    <w:tbl>
      <w:tblPr>
        <w:tblW w:w="10205" w:type="dxa"/>
        <w:jc w:val="center"/>
        <w:tblInd w:w="0" w:type="dxa"/>
        <w:tblLayout w:type="fixed"/>
        <w:tblCellMar>
          <w:top w:w="28" w:type="dxa"/>
          <w:left w:w="28" w:type="dxa"/>
          <w:bottom w:w="28" w:type="dxa"/>
          <w:right w:w="28" w:type="dxa"/>
        </w:tblCellMar>
      </w:tblPr>
      <w:tblGrid>
        <w:gridCol w:w="432"/>
        <w:gridCol w:w="379"/>
        <w:gridCol w:w="382"/>
        <w:gridCol w:w="390"/>
        <w:gridCol w:w="668"/>
        <w:gridCol w:w="203"/>
        <w:gridCol w:w="109"/>
        <w:gridCol w:w="109"/>
        <w:gridCol w:w="109"/>
        <w:gridCol w:w="211"/>
        <w:gridCol w:w="361"/>
        <w:gridCol w:w="109"/>
        <w:gridCol w:w="109"/>
        <w:gridCol w:w="109"/>
        <w:gridCol w:w="109"/>
        <w:gridCol w:w="211"/>
        <w:gridCol w:w="361"/>
        <w:gridCol w:w="109"/>
        <w:gridCol w:w="109"/>
        <w:gridCol w:w="109"/>
        <w:gridCol w:w="109"/>
        <w:gridCol w:w="211"/>
        <w:gridCol w:w="256"/>
        <w:gridCol w:w="109"/>
        <w:gridCol w:w="109"/>
        <w:gridCol w:w="109"/>
        <w:gridCol w:w="109"/>
        <w:gridCol w:w="211"/>
        <w:gridCol w:w="256"/>
        <w:gridCol w:w="109"/>
        <w:gridCol w:w="109"/>
        <w:gridCol w:w="109"/>
        <w:gridCol w:w="109"/>
        <w:gridCol w:w="335"/>
        <w:gridCol w:w="407"/>
        <w:gridCol w:w="174"/>
        <w:gridCol w:w="109"/>
        <w:gridCol w:w="109"/>
        <w:gridCol w:w="109"/>
        <w:gridCol w:w="463"/>
        <w:gridCol w:w="596"/>
        <w:gridCol w:w="241"/>
        <w:gridCol w:w="109"/>
        <w:gridCol w:w="109"/>
        <w:gridCol w:w="109"/>
        <w:gridCol w:w="211"/>
        <w:gridCol w:w="361"/>
        <w:gridCol w:w="160"/>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Imputed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did not have material additional operating leases that have not yet commenced.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(15)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involved in various legal proceedings, including those discussed below. We record an accrual for legal contingencies when it is both probable that a liability has been incurred and the amount or range of the loss can be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$54 million and $144 million for all of our legal matters that were contingencies as of June 30, 2026 and December 31, 2025,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 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$14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noBreakHyphen/>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Colombia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 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 On November 7, 2024, LNWI was notified that, by means of a decision dated August 8, 2024, the full Chamber of the Colombian Constitutional Court denied LNWI’s motion filed on April 30, 2024. The matter has been remanded to the Tribunal for further proceedings, and on April 30, 2025, the Tribunal issued an order directing the parties to comply with the December 10, 2020 decision of the Council of State. The matter remains pending before the Tribunal.</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SNAI Litigation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16, 2012, certain VLTs operated by SNAI in Italy and supplied by Barcrest Group Limited (“Barcrest”) erroneously printed what appeared to be winning jackpot and other tickets with a face amount in excess of €400.0 million. SNAI has stated, and system data confirms, that no jackpots were actually won on that day. The terminals were deactivated by the Italian regulatory authority. Following the incident, we understand that the Italian regulatory authority revoked the certification of the version of the gaming system that Barcrest provided to SNAI and fined SNAI €1.5 million, but determined to not revoke SNAI’s concession to operate VLTs in Italy.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2012, SNAI filed a lawsuit in the Court of First Instance of Rome in Italy against Barcrest and The Global Draw Limited, our subsidiary which acquired Barcrest from IGT</w:t>
        <w:noBreakHyphen/>
        <w:t>UK Group Limited, a subsidiary of IGT, claiming liability arising out of the April 2012 incident and asserting claims based on theories of breach of contract and tort. The lawsuit sought to terminate SNAI’s agreement with Barcrest and damages arising from the deactivation of the terminals, including among other things, lost profits, expenses and costs, potential awards to players who have sought to enforce what appeared to be winning jackpot and other tickets, compensation for lost profits sought by managers of the gaming locations where SNAI VLTs supplied by Barcrest were installed, damages to commercial reputation and any future damages arising from SNAI’s potential loss of its concession or inability to obtain a new concession.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2015, we entered into a settlement agreement with SNAI that provides, among other things, for us to make a €25.0 million upfront payment to SNAI, which payment was made in February 2015, and to indemnify SNAI against certain potential future losses. In connection with the settlement, the parties’ pending claims in the Court of First Instance of Rome were dismissed on February 19, 2015. As of June 30, 2026, we have paid €9.4 million to SNAI pursuant to our indemnification obligations.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 re Automatic Card Shufflers Litigation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16, 2024, the defendants filed a motion for summary judgment, and plaintiffs filed a motion for partial summary judgment and a motion for class certification. On May 8, 2025, the court held a hearing on the pending motions for summary judgment. On March 31, 2026, the court granted in part and denied in part defendants’ motion for summary judgment; denied plaintiffs’ motion for partial summary judgment; and granted plaintiffs’ motion for class certification. On May 4, 2026, the defendants filed a motion for reconsideration of the court’s March 31, 2026 opinion and order on defendants’ motion for summary judgment, and that motion for reconsideration is fully briefed and pending. On May 21, 2026, the court set the matter for a jury trial beginning November 1, 2027.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 We believe that the claims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Mohawk Gaming Enterprises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 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Also on February 16, 2024, claimant filed a motion for partial summary judgment and a motion for class certification. On December 9, 2024, the Arbitrator denied the motions for summary judgment and issued a class determination award, certifying a class. On January 9, 2025, Respondents filed a petition to vacate the award in New York Supreme Court. The Court denied Respondents’ petition and granted Claimant’s cross-petition to confirm the award on July 2, 2025, and on July 7, 2025, Respondents appealed to the New York Appellate Division, First Department, which on July 16, 2026, affirmed the New York Supreme Court’s decision. Respondents intend to seek leave to appeal that decision. On November 14, 2025, the Arbitrator entered a scheduling order setting the evidentiary hearing in this matter for April 15 to 30 and May 6 to 13, 2026. On March 19, 2026, the Arbitrator entered an order postponing the evidentiary hearing pending future developments relating to Respondents’ appeal of the Arbitrator’s class determination award. Due to the complexity of the plaintiffs’ claims, and the unpredictability of the outcome of the proceedings before the Arbitrator, or any appeal therefrom, we are unable at this time to estimate a range of reasonably possible losses, or any amount within such a range, above the amount we have recorded for this matter, which is the minimum amount of reasonably possible loss. We believe that the claims in the arbitration demand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De Guzman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2026, plaintiff Mark De Guzman filed a putative class action complaint against SciPlay Corporation and SciPlay Games, LLC in the United States District Court for the Northern District of California. The complaint asserts claims for alleged violations under California’s Unfair Competition Law, California’s Consumer Legal Remedies Act, and California’s Penal Code, and for unjust enrichment. The plaintiff seeks to represent a putative class of California residents who spent money playing SciPlay’s online social casino games during the four years preceding the filing of plaintiff’s complaint. Plaintiff’s complaint seeks an order certifying the proposed class, and further seeks unspecified money damages, rescission, restitution, declaratory relief, and injunctive relief, the award of interest, expenses, costs, and plaintiff’s reasonable attorney’s fees, and unspecified other equitable relief. On March 23, 2026, defendants filed a motion to compel arbitration of plaintiff’s claims and to stay plaintiff’s lawsuit pending resolution of the arbitration. On April 23, 2026, the district court granted defendants’ motion to compel arbitration of plaintiff’s claims, and stayed and administratively closed plaintiff’s lawsuit pending resolution of the arbitration proceedings. We are currently unable to determine the likelihood of an outcome or estimate a range of possible losses, if any. We believe that the claims in the complaint are without merit, and intend to vigorously defend against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Herman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15, 2026, plaintiff Sean Herman filed a putative class action complaint against SciPlay Corporation and SciPlay Games, LLC in the United States District Court for the Western District of Washington. The complaint asserts claims for alleged violations of Washington State’s anti-gambling statutes and Washington State’s Consumer Protection Act. The plaintiff seeks to represent a putative class of Washington State residents who spent money playing SciPlay’s online social casino games during the three years preceding the filing of plaintiff’s complaint. Plaintiff’s complaint seeks an order certifying the proposed class, and further seeks unspecified money damages, rescission, restitution, declaratory relief, and injunctive relief, the award of interest, expenses, costs, and plaintiff’s reasonable attorneys’ fees, and unspecified other equitable relief. On March 30, 2026, defendants filed a motion to compel arbitration of plaintiff’s claims and to stay plaintiff’s lawsuit pending resolution of the arbitration. On April 29, 2026, plaintiff filed a Notice of Non-Opposition to defendants’ motion to compel arbitration, stating that plaintiff agrees the case should be stayed while the parties arbitrate their dispute. On May 22, 2026, the court granted defendants’ motion to compel arbitration of plaintiff’s claims and stayed plaintiff’s lawsuit pending completion of the arbitration proceedings. We are currently unable to determine the likelihood of an outcome or estimate a range of reasonably possible losses, if any. We believe that the claims in the complaint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Evolution Matter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28, 2024, Evolution Malta Limited, Evolution Gaming Malta Limited, and SIA Evolution Latvia brought a civil action in the United States District Court for the District of Nevada against L&amp;W and LNW Gaming, Inc. Plaintiffs assert claims for patent infringement and trade secret misappropriation relating to defendants’ ROULETTEX® and POWERX® games and defendants’ 88 Fortunes Blaze Live Roulette game. Plaintiffs’ complaint seeks preliminary and permanent injunctive relief, unspecified damages, the award of attorneys’ fees and costs, interest, and declaratory relief. On July 24, 2024, defendants filed a motion to dismiss plaintiffs’ complaint, which the court granted as to plaintiffs’ claims for patent infringement on February 11, 2025. On August 16, 2024, defendants filed a motion to stay discovery, which the court denied on November 7, 2024. On February 7, 2025, defendants filed a motion to compel arbitration of plaintiffs’ claims for trade secret misappropriation, or, in the alternative, to dismiss the claims. On September 30, 2025, the court granted defendants’ motion to compel arbitration of plaintiffs’ claims for trade secret misappropriation and stayed those claims. On April 10, 2025, Plaintiffs filed a First Amended Complaint and on May 15, 2025, defendants filed a motion to dismiss that First Amended Complaint, which the court denied as moot on September 30, 2025. Also on April 10, 2025, Plaintiffs filed a motion for leave to file a Second Amended Complaint, which the court granted on June 30, 2025. Plaintiffs filed their Second Amended Complaint on June 30, 2025, and defendants filed a motion to dismiss the claims for patent infringement in that complaint on August 8, 2025. Also on August 8, 2025, the parties filed a joint stipulation to stay all discovery until and through January 16, 2026, which the court granted on August 11, 2025. On February 2, 2026, defendants filed a motion to stay all discovery pending the court’s ruling on defendants’ motion to dismiss plaintiffs’ Second Amended Complaint, and the resolution of pending Inter Partes Review proceedings involving the majority of the patents asserted in the action, which the court denied as moot on March 31, 2026. On February 3, 2026, the court entered a scheduling order setting certain pretrial deadlines, including a fact discovery deadline of October 27, 2026. On March 30, 2026, the court granted defendants’ motion to dismiss the claims for patent infringement. On May 5, 2026, the court entered an order noting that the lawsuit remains stayed pending the outcome of an arbitration between the parties regarding plaintiffs’ claims of trade secret misappropriation. We are currently unable to determine the likelihood of an outcome or estimate a range of reasonably possible losses, if any. We believe that the claims in the dispute are without merit and intend to vigorously defend against them.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12, 2025, Evolution Malta Limited, Evolution Gaming Malta Limited, and SIA Evolution Latvia filed a request for arbitration directed against L&amp;W and LNW Gaming, Inc. with the International Court of Arbitration of the International Chamber of Commerce (“ICC”). Claimants’ request for arbitration asserts those claims for trade secret misappropriation that the Nevada court, in its order of September 30, 2025, directed be arbitrated. On February 2, 2026, respondents filed an answer to claimants’ request for arbitration. On February 27, 2026, the ICC confirmed the constitution of an Arbitral Tribunal over claimants’ claims, consisting of three arbitrators. On June 19, 2026, the Arbitral Tribunal entered a procedural order setting the matter for a hearing beginning on July 26, 2027. We are currently unable to determine the likelihood of an outcome or estimate a range of reasonably possible losses, if any. We believe that the claims in the dispute are without merit and intend to vigorously defend against them.</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AztecGold Holdings Pty Ltd. Matter (Australia)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AztecGold Holdings Pty Ltd. brought a shareholder class action in the Commercial Court of the Supreme Court of Victoria, Australia against L&amp;W. Plaintiff asserts claims for breaches of the Australian Corporations Act, the Australian Securities and Investment Commission Act 2001, and the Australian Consumer Law, relating to representations provided by L&amp;W regarding its Dragon Train game. The lawsuit is brought on behalf of shareholders who acquired an interest in Light &amp; Wonder CHESS Depositary Interests (CDIs) between May 22, 2023 and September 24, 2024. Plaintiff’s complaint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seeks declaratory relief, unspecified damages, and the award of interest and costs. L&amp;W’s responsive pleading to Plaintiff’s lawsuit is not yet due. We are currently unable to determine the likelihood of an outcome or estimate a range of reasonably possible losses, if any. We believe that the Plaintiff’s claims are without merit and intend to vigorously defend against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Item 1 </w:t>
      </w:r>
      <w:r>
        <w:rPr>
          <w:color w:val="000000"/>
        </w:rPr>
        <w:t>“</w:t>
      </w:r>
      <w:r>
        <w:rPr>
          <w:rFonts w:ascii="Times New Roman;serif" w:hAnsi="Times New Roman;serif"/>
          <w:b w:val="false"/>
          <w:color w:val="000000"/>
          <w:sz w:val="20"/>
        </w:rPr>
        <w:t>Condensed Consolidated Financial Statements” and</w:t>
      </w:r>
      <w:r>
        <w:rPr>
          <w:color w:val="000000"/>
        </w:rPr>
        <w:t xml:space="preserve">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Risk Factors” in this Quarterly Report on Form 10-Q and under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Item 1 </w:t>
      </w:r>
      <w:r>
        <w:rPr>
          <w:color w:val="000000"/>
        </w:rPr>
        <w:t>“</w:t>
      </w:r>
      <w:r>
        <w:rPr>
          <w:rFonts w:ascii="Times New Roman;serif" w:hAnsi="Times New Roman;serif"/>
          <w:b w:val="false"/>
          <w:color w:val="000000"/>
          <w:sz w:val="20"/>
        </w:rPr>
        <w:t>Business,”</w:t>
      </w:r>
      <w:r>
        <w:rPr>
          <w:color w:val="000000"/>
        </w:rPr>
        <w:t xml:space="preserve">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 xml:space="preserve">Risk Factors” and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2025 10-K. As used in this MD&amp;A, the terms “we,” “us,” “our” and the “Company” mean L&amp;W together with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cross-platform global games company with a focus on content and digital markets. Our portfolio of revenue-generating activities primarily includes supplying game content and gaming machines, CMSs and table game products and services to licensed gaming entities, and electronic pull tabs and related services to charitable gaming entities; providing social casino and other online games, including casual gaming, to retail customers; and providing a comprehensive suite of digital gaming content, distribution platforms and player account management systems, as well as various other iGaming content and services. </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As more fully described in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w:t>
      </w:r>
      <w:r>
        <w:rPr>
          <w:color w:val="000000"/>
        </w:rPr>
        <w:t xml:space="preserve"> “</w:t>
      </w:r>
      <w:r>
        <w:rPr>
          <w:rFonts w:ascii="Times New Roman;serif" w:hAnsi="Times New Roman;serif"/>
          <w:b w:val="false"/>
          <w:color w:val="000000"/>
          <w:sz w:val="20"/>
        </w:rPr>
        <w:t>Business” in our 2025 10-K, we are executing on our strategy to become a leading cross-platform global games company with a focus on content and digital markets. We report our results of operations in three reportable business segments—Gaming, SciPlay and iGaming—representing our different products and services. See “Business Segments Results” below and Note 3 for additional reportable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CONSOLIDATED RESULTS</w:t>
      </w:r>
    </w:p>
    <w:tbl>
      <w:tblPr>
        <w:tblW w:w="10707" w:type="dxa"/>
        <w:jc w:val="center"/>
        <w:tblInd w:w="0" w:type="dxa"/>
        <w:tblLayout w:type="fixed"/>
        <w:tblCellMar>
          <w:top w:w="28" w:type="dxa"/>
          <w:left w:w="28" w:type="dxa"/>
          <w:bottom w:w="28" w:type="dxa"/>
          <w:right w:w="28" w:type="dxa"/>
        </w:tblCellMar>
      </w:tblPr>
      <w:tblGrid>
        <w:gridCol w:w="471"/>
        <w:gridCol w:w="229"/>
        <w:gridCol w:w="231"/>
        <w:gridCol w:w="211"/>
        <w:gridCol w:w="466"/>
        <w:gridCol w:w="109"/>
        <w:gridCol w:w="109"/>
        <w:gridCol w:w="109"/>
        <w:gridCol w:w="109"/>
        <w:gridCol w:w="211"/>
        <w:gridCol w:w="466"/>
        <w:gridCol w:w="109"/>
        <w:gridCol w:w="109"/>
        <w:gridCol w:w="109"/>
        <w:gridCol w:w="109"/>
        <w:gridCol w:w="211"/>
        <w:gridCol w:w="361"/>
        <w:gridCol w:w="109"/>
        <w:gridCol w:w="109"/>
        <w:gridCol w:w="109"/>
        <w:gridCol w:w="109"/>
        <w:gridCol w:w="203"/>
        <w:gridCol w:w="203"/>
        <w:gridCol w:w="271"/>
        <w:gridCol w:w="109"/>
        <w:gridCol w:w="109"/>
        <w:gridCol w:w="109"/>
        <w:gridCol w:w="211"/>
        <w:gridCol w:w="616"/>
        <w:gridCol w:w="109"/>
        <w:gridCol w:w="109"/>
        <w:gridCol w:w="109"/>
        <w:gridCol w:w="109"/>
        <w:gridCol w:w="211"/>
        <w:gridCol w:w="616"/>
        <w:gridCol w:w="109"/>
        <w:gridCol w:w="109"/>
        <w:gridCol w:w="109"/>
        <w:gridCol w:w="109"/>
        <w:gridCol w:w="211"/>
        <w:gridCol w:w="361"/>
        <w:gridCol w:w="109"/>
        <w:gridCol w:w="109"/>
        <w:gridCol w:w="109"/>
        <w:gridCol w:w="109"/>
        <w:gridCol w:w="135"/>
        <w:gridCol w:w="136"/>
        <w:gridCol w:w="271"/>
        <w:gridCol w:w="109"/>
        <w:gridCol w:w="109"/>
        <w:gridCol w:w="109"/>
        <w:gridCol w:w="109"/>
        <w:gridCol w:w="109"/>
        <w:gridCol w:w="109"/>
        <w:gridCol w:w="109"/>
        <w:gridCol w:w="109"/>
        <w:gridCol w:w="109"/>
        <w:gridCol w:w="109"/>
        <w:gridCol w:w="109"/>
        <w:gridCol w:w="109"/>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9776" w:type="dxa"/>
            <w:gridSpan w:val="58"/>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gridSpan w:val="7"/>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Revenue</w:t>
      </w:r>
    </w:p>
    <w:tbl>
      <w:tblPr>
        <w:tblW w:w="9152" w:type="dxa"/>
        <w:jc w:val="center"/>
        <w:tblInd w:w="0" w:type="dxa"/>
        <w:tblLayout w:type="fixed"/>
        <w:tblCellMar>
          <w:top w:w="28" w:type="dxa"/>
          <w:left w:w="28" w:type="dxa"/>
          <w:bottom w:w="28" w:type="dxa"/>
          <w:right w:w="28" w:type="dxa"/>
        </w:tblCellMar>
      </w:tblPr>
      <w:tblGrid>
        <w:gridCol w:w="1423"/>
        <w:gridCol w:w="1253"/>
        <w:gridCol w:w="1253"/>
        <w:gridCol w:w="501"/>
        <w:gridCol w:w="501"/>
        <w:gridCol w:w="501"/>
        <w:gridCol w:w="1075"/>
        <w:gridCol w:w="1075"/>
        <w:gridCol w:w="1570"/>
      </w:tblGrid>
      <w:tr>
        <w:trPr/>
        <w:tc>
          <w:tcPr>
            <w:tcW w:w="142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9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Revenue by Reportable Business Segment</w:t>
            </w:r>
          </w:p>
        </w:tc>
      </w:tr>
      <w:tr>
        <w:trPr/>
        <w:tc>
          <w:tcPr>
            <w:tcW w:w="9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3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 and 2025</w:t>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 and 2025</w:t>
            </w:r>
          </w:p>
        </w:tc>
      </w:tr>
    </w:tbl>
    <w:p>
      <w:pPr>
        <w:pStyle w:val="TextBody"/>
        <w:bidi w:val="0"/>
        <w:spacing w:before="0" w:after="160"/>
        <w:jc w:val="center"/>
        <w:rPr/>
      </w:pPr>
      <w:r>
        <w:rPr/>
        <w:drawing>
          <wp:inline distT="0" distB="0" distL="0" distR="0">
            <wp:extent cx="3228975" cy="182880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3228975" cy="1828800"/>
                    </a:xfrm>
                    <a:prstGeom prst="rect">
                      <a:avLst/>
                    </a:prstGeom>
                  </pic:spPr>
                </pic:pic>
              </a:graphicData>
            </a:graphic>
          </wp:inline>
        </w:drawing>
      </w:r>
      <w:bookmarkStart w:id="1" w:name="i-2"/>
      <w:bookmarkEnd w:id="1"/>
      <w:r>
        <w:rPr/>
        <w:drawing>
          <wp:inline distT="0" distB="0" distL="0" distR="0">
            <wp:extent cx="3228975" cy="1895475"/>
            <wp:effectExtent l="0" t="0" r="0" b="0"/>
            <wp:docPr id="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 descr=""/>
                    <pic:cNvPicPr>
                      <a:picLocks noChangeAspect="1" noChangeArrowheads="1"/>
                    </pic:cNvPicPr>
                  </pic:nvPicPr>
                  <pic:blipFill>
                    <a:blip r:embed="rId4"/>
                    <a:stretch>
                      <a:fillRect/>
                    </a:stretch>
                  </pic:blipFill>
                  <pic:spPr bwMode="auto">
                    <a:xfrm>
                      <a:off x="0" y="0"/>
                      <a:ext cx="3228975" cy="1895475"/>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Gaming revenue increased 5% for the three months ended June 30, 2026, as compared to the prior year period. Revenue growth was primarily driven by higher Gaming operations revenue of $14 million supported by our diversified portfolio of high-performing game franchises, along with a $24 million increase in revenue from Grover. Table products contributed $7 million in growth driven by an increase in global utility sales. These increases were partially offset by a decrease in Gaming machine sales of $7 million, as the prior year period benefited from the timing of North America VLT shipments, and a decrease in Gaming systems revenue of $12 million for the three months ended June 30, 2026, primarily due to lower hardware sales as compared to the prior year period.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Gaming revenue increased 4% for the six months ended June 30, 2026, as compared to the prior year period. Revenue growth was primarily driven by higher Gaming operations revenue of $37 million, supported by our diversified portfolio of high-performing game franchises, along with an increase of $67 million in revenue from Grover. Table products contributed $19 million in growth driven by an increase in global utility sales. This was partially offset by a decrease in Gaming machine sales of $58 million, as the prior year period benefited from the timing of international and North America VLT shipments, and a decrease in Gaming systems revenue of $21 million, primarily due to lower hardware sales as compared to the prior year period. </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by $18 million and $34 million, or 9% and 8%, for the three and six months ended June 30, 2026, respectively, as compared to the prior year periods. These decreases were primarily due to a softer social casino free-to-play market and a decline in average monthly payers primarily attributable to </w:t>
      </w:r>
      <w:r>
        <w:rPr>
          <w:rFonts w:ascii="Times New Roman;serif" w:hAnsi="Times New Roman;serif"/>
          <w:b w:val="false"/>
          <w:i/>
          <w:color w:val="000000"/>
          <w:sz w:val="20"/>
        </w:rPr>
        <w:t>JACKPOT PARTY</w:t>
      </w:r>
      <w:r>
        <w:rPr>
          <w:rFonts w:ascii="Times New Roman;serif" w:hAnsi="Times New Roman;serif"/>
          <w:b w:val="false"/>
          <w:i/>
          <w:color w:val="000000"/>
          <w:sz w:val="13"/>
        </w:rPr>
        <w:t xml:space="preserve">® </w:t>
      </w:r>
      <w:r>
        <w:rPr>
          <w:rFonts w:ascii="Times New Roman;serif" w:hAnsi="Times New Roman;serif"/>
          <w:b w:val="false"/>
          <w:i/>
          <w:color w:val="000000"/>
          <w:sz w:val="20"/>
        </w:rPr>
        <w:t>Casino</w:t>
      </w:r>
      <w:r>
        <w:rPr>
          <w:rFonts w:ascii="Times New Roman;serif" w:hAnsi="Times New Roman;serif"/>
          <w:b w:val="false"/>
          <w:color w:val="000000"/>
          <w:sz w:val="20"/>
        </w:rPr>
        <w:t>, partially offset by an increase in average monthly revenue per paying user, which increased 4% and 6% for the three and six months ended June 30, 2026, respectively. Revenue generated via the proprietary direct-to-consumer platform continues to increase and represented approximately 29% and 18% of total SciPlay revenue for the three months ended June 30, 2026 and 2025, respectively, and 28% and 16% for the six months ended June 30, 2026 and 2025,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increased by $11 million and $25 million, or 14% and 16%, for the three and six months ended June 30, 2026, respectively. Revenue growth was driven primarily by continued momentum in the North American markets underpinned by first-party content (“1PP”) proliferation and the expansion of our partner network.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205" w:type="dxa"/>
        <w:jc w:val="center"/>
        <w:tblInd w:w="0" w:type="dxa"/>
        <w:tblLayout w:type="fixed"/>
        <w:tblCellMar>
          <w:top w:w="28" w:type="dxa"/>
          <w:left w:w="28" w:type="dxa"/>
          <w:bottom w:w="28" w:type="dxa"/>
          <w:right w:w="28" w:type="dxa"/>
        </w:tblCellMar>
      </w:tblPr>
      <w:tblGrid>
        <w:gridCol w:w="691"/>
        <w:gridCol w:w="478"/>
        <w:gridCol w:w="398"/>
        <w:gridCol w:w="232"/>
        <w:gridCol w:w="514"/>
        <w:gridCol w:w="120"/>
        <w:gridCol w:w="120"/>
        <w:gridCol w:w="120"/>
        <w:gridCol w:w="120"/>
        <w:gridCol w:w="232"/>
        <w:gridCol w:w="514"/>
        <w:gridCol w:w="120"/>
        <w:gridCol w:w="109"/>
        <w:gridCol w:w="109"/>
        <w:gridCol w:w="109"/>
        <w:gridCol w:w="211"/>
        <w:gridCol w:w="292"/>
        <w:gridCol w:w="109"/>
        <w:gridCol w:w="109"/>
        <w:gridCol w:w="109"/>
        <w:gridCol w:w="109"/>
        <w:gridCol w:w="215"/>
        <w:gridCol w:w="201"/>
        <w:gridCol w:w="271"/>
        <w:gridCol w:w="109"/>
        <w:gridCol w:w="109"/>
        <w:gridCol w:w="109"/>
        <w:gridCol w:w="212"/>
        <w:gridCol w:w="619"/>
        <w:gridCol w:w="109"/>
        <w:gridCol w:w="109"/>
        <w:gridCol w:w="109"/>
        <w:gridCol w:w="109"/>
        <w:gridCol w:w="212"/>
        <w:gridCol w:w="619"/>
        <w:gridCol w:w="109"/>
        <w:gridCol w:w="109"/>
        <w:gridCol w:w="109"/>
        <w:gridCol w:w="109"/>
        <w:gridCol w:w="211"/>
        <w:gridCol w:w="361"/>
        <w:gridCol w:w="109"/>
        <w:gridCol w:w="109"/>
        <w:gridCol w:w="109"/>
        <w:gridCol w:w="109"/>
        <w:gridCol w:w="197"/>
        <w:gridCol w:w="199"/>
        <w:gridCol w:w="328"/>
      </w:tblGrid>
      <w:tr>
        <w:trPr/>
        <w:tc>
          <w:tcPr>
            <w:tcW w:w="69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Cost of products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R&amp;D</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D&amp;A</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r>
        <w:trPr/>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7" w:type="dxa"/>
            <w:gridSpan w:val="3"/>
            <w:tcBorders/>
            <w:vAlign w:val="center"/>
          </w:tcPr>
          <w:p>
            <w:pPr>
              <w:pStyle w:val="TableContents"/>
              <w:bidi w:val="0"/>
              <w:spacing w:before="0" w:after="283"/>
              <w:jc w:val="left"/>
              <w:rPr>
                <w:sz w:val="4"/>
                <w:szCs w:val="4"/>
              </w:rPr>
            </w:pPr>
            <w:r>
              <w:rPr>
                <w:sz w:val="4"/>
                <w:szCs w:val="4"/>
              </w:rPr>
            </w:r>
          </w:p>
        </w:tc>
        <w:tc>
          <w:tcPr>
            <w:tcW w:w="8638" w:type="dxa"/>
            <w:gridSpan w:val="45"/>
            <w:tcBorders/>
          </w:tcPr>
          <w:p>
            <w:pPr>
              <w:pStyle w:val="TableContents"/>
              <w:bidi w:val="0"/>
              <w:spacing w:before="0" w:after="283"/>
              <w:jc w:val="left"/>
              <w:rPr>
                <w:sz w:val="4"/>
                <w:szCs w:val="4"/>
              </w:rPr>
            </w:pPr>
            <w:r>
              <w:rPr>
                <w:sz w:val="4"/>
                <w:szCs w:val="4"/>
              </w:rPr>
            </w:r>
          </w:p>
        </w:tc>
      </w:tr>
      <w:tr>
        <w:trPr/>
        <w:tc>
          <w:tcPr>
            <w:tcW w:w="1567" w:type="dxa"/>
            <w:gridSpan w:val="3"/>
            <w:tcBorders/>
            <w:vAlign w:val="center"/>
          </w:tcPr>
          <w:p>
            <w:pPr>
              <w:pStyle w:val="TableContents"/>
              <w:bidi w:val="0"/>
              <w:spacing w:before="0" w:after="283"/>
              <w:jc w:val="left"/>
              <w:rPr>
                <w:sz w:val="4"/>
                <w:szCs w:val="4"/>
              </w:rPr>
            </w:pPr>
            <w:r>
              <w:rPr>
                <w:sz w:val="4"/>
                <w:szCs w:val="4"/>
              </w:rPr>
            </w:r>
          </w:p>
        </w:tc>
        <w:tc>
          <w:tcPr>
            <w:tcW w:w="8638"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cost of revenue decreased 4% and 6% for the three and six months ended June 30, 2026, respectively, primarily as a result of lower cost of products and services in correlation with lower Gaming machine sales and SciPlay revenue.</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SG&amp;A was relatively flat for the three months ended June 30, 2026, as compared to the prior year period. SG&amp;A increased 5% for the six months ended June 30, 2026, as compared to the prior year period. This was primarily due to higher salaries and benefits (including stock-based compensation) of $14 million, higher bad debt expense of $6 million (as the prior year reflected recoveries of certain balances), and higher legal and professional services of $5 million, partially offset by a decrease in marketing expense of $11 million, primarily driven by SciPlay.</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D&amp;A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D&amp;A increased 18% for both the three and six months ended June 30, 2026, primarily due to depreciation related to Gaming operations installed base investments and growth, D&amp;A associated with the Grover acquisition and a $9 million impairment charge related to a SciPlay studio restructuring.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Restructuring and Other</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decreased for the three months ended June 30, 2026, primarily due to an $11 million impact from the revaluation of the Grover contingent acquisition consideration during the second quarter of 2026, as well as $11 million in lower strategic initiatives, acquisitions, and related expenses (primarily related to the Grover acquisition in the prior year period), partially offset by an increase in employee severance and related charges of $14 million.</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Restructuring and other increased for the six months ended June 30, 2026, primarily due to $50 million in legal reserve contingencies associated with certain legal matters, while costs related to strategic review and related transactions decreased, including prior period legal and professional service fees associated with the acquisition of Grover of $14 million and $9 million in iGaming charges, primarily related to the discontinuation of our iGaming Live Casino operations. The six months ended June 30, 2026 also included higher employee severance and related costs of $7 million and the revaluation of the Grover contingent acquisition consideration of $11 million.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Other Factors Affecting Net Income</w:t>
      </w:r>
    </w:p>
    <w:tbl>
      <w:tblPr>
        <w:tblW w:w="10205" w:type="dxa"/>
        <w:jc w:val="left"/>
        <w:tblInd w:w="0" w:type="dxa"/>
        <w:tblLayout w:type="fixed"/>
        <w:tblCellMar>
          <w:top w:w="28" w:type="dxa"/>
          <w:left w:w="28" w:type="dxa"/>
          <w:bottom w:w="28" w:type="dxa"/>
          <w:right w:w="28" w:type="dxa"/>
        </w:tblCellMar>
      </w:tblPr>
      <w:tblGrid>
        <w:gridCol w:w="521"/>
        <w:gridCol w:w="330"/>
        <w:gridCol w:w="332"/>
        <w:gridCol w:w="224"/>
        <w:gridCol w:w="414"/>
        <w:gridCol w:w="115"/>
        <w:gridCol w:w="115"/>
        <w:gridCol w:w="115"/>
        <w:gridCol w:w="115"/>
        <w:gridCol w:w="224"/>
        <w:gridCol w:w="414"/>
        <w:gridCol w:w="115"/>
        <w:gridCol w:w="109"/>
        <w:gridCol w:w="109"/>
        <w:gridCol w:w="109"/>
        <w:gridCol w:w="214"/>
        <w:gridCol w:w="501"/>
        <w:gridCol w:w="110"/>
        <w:gridCol w:w="110"/>
        <w:gridCol w:w="110"/>
        <w:gridCol w:w="110"/>
        <w:gridCol w:w="214"/>
        <w:gridCol w:w="501"/>
        <w:gridCol w:w="110"/>
        <w:gridCol w:w="109"/>
        <w:gridCol w:w="109"/>
        <w:gridCol w:w="109"/>
        <w:gridCol w:w="1458"/>
        <w:gridCol w:w="1264"/>
        <w:gridCol w:w="1815"/>
      </w:tblGrid>
      <w:tr>
        <w:trPr/>
        <w:tc>
          <w:tcPr>
            <w:tcW w:w="5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Factors Affecting Net Income</w:t>
            </w:r>
          </w:p>
        </w:tc>
      </w:tr>
      <w:tr>
        <w:trPr/>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increase in interest expense is primarily due to higher outstanding debt used to complete the Grover acquisition, partially offset by the redemption of certain senior notes and refinancing through the LNWI Credit Agreement that reduced our applicable interest rates.</w:t>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7"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7"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change in other income, net was primarily due to foreign exchange impacts, along with the change in our contingent consideration liability associated with the Alictus acquisition from 2022.</w:t>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The change in income tax expense for the six months ended June 30, 2026 as compared to the prior year period was primarily due to the change in worldwide income</w:t>
            </w:r>
            <w:r>
              <w:rPr>
                <w:rFonts w:ascii="Times New Roman;serif" w:hAnsi="Times New Roman;serif"/>
                <w:b w:val="false"/>
                <w:color w:val="000000"/>
                <w:sz w:val="12"/>
              </w:rPr>
              <w:t>(1)</w:t>
            </w:r>
            <w:r>
              <w:rPr>
                <w:rFonts w:ascii="Times New Roman;serif" w:hAnsi="Times New Roman;serif"/>
                <w:b w:val="false"/>
                <w:color w:val="000000"/>
                <w:sz w:val="18"/>
              </w:rPr>
              <w:t>.</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For additional information regarding our income tax expense, see Note 13.</w:t>
            </w:r>
          </w:p>
        </w:tc>
      </w:tr>
    </w:tbl>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Foreign Currency Exchange (F/X)</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tbl>
      <w:tblPr>
        <w:tblW w:w="11550" w:type="dxa"/>
        <w:jc w:val="center"/>
        <w:tblInd w:w="0" w:type="dxa"/>
        <w:tblLayout w:type="fixed"/>
        <w:tblCellMar>
          <w:top w:w="28" w:type="dxa"/>
          <w:left w:w="28" w:type="dxa"/>
          <w:bottom w:w="28" w:type="dxa"/>
          <w:right w:w="28" w:type="dxa"/>
        </w:tblCellMar>
      </w:tblPr>
      <w:tblGrid>
        <w:gridCol w:w="501"/>
        <w:gridCol w:w="229"/>
        <w:gridCol w:w="231"/>
        <w:gridCol w:w="223"/>
        <w:gridCol w:w="382"/>
        <w:gridCol w:w="116"/>
        <w:gridCol w:w="109"/>
        <w:gridCol w:w="109"/>
        <w:gridCol w:w="109"/>
        <w:gridCol w:w="281"/>
        <w:gridCol w:w="281"/>
        <w:gridCol w:w="699"/>
        <w:gridCol w:w="109"/>
        <w:gridCol w:w="109"/>
        <w:gridCol w:w="109"/>
        <w:gridCol w:w="223"/>
        <w:gridCol w:w="382"/>
        <w:gridCol w:w="116"/>
        <w:gridCol w:w="109"/>
        <w:gridCol w:w="109"/>
        <w:gridCol w:w="109"/>
        <w:gridCol w:w="281"/>
        <w:gridCol w:w="281"/>
        <w:gridCol w:w="699"/>
        <w:gridCol w:w="109"/>
        <w:gridCol w:w="109"/>
        <w:gridCol w:w="109"/>
        <w:gridCol w:w="223"/>
        <w:gridCol w:w="382"/>
        <w:gridCol w:w="116"/>
        <w:gridCol w:w="109"/>
        <w:gridCol w:w="109"/>
        <w:gridCol w:w="109"/>
        <w:gridCol w:w="281"/>
        <w:gridCol w:w="281"/>
        <w:gridCol w:w="699"/>
        <w:gridCol w:w="109"/>
        <w:gridCol w:w="109"/>
        <w:gridCol w:w="109"/>
        <w:gridCol w:w="109"/>
        <w:gridCol w:w="109"/>
        <w:gridCol w:w="223"/>
        <w:gridCol w:w="382"/>
        <w:gridCol w:w="116"/>
        <w:gridCol w:w="109"/>
        <w:gridCol w:w="109"/>
        <w:gridCol w:w="109"/>
        <w:gridCol w:w="281"/>
        <w:gridCol w:w="281"/>
        <w:gridCol w:w="699"/>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742" w:type="dxa"/>
            <w:gridSpan w:val="7"/>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15" w:type="dxa"/>
            <w:gridSpan w:val="4"/>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18"/>
                <w:u w:val="single"/>
              </w:rPr>
            </w:pPr>
            <w:r>
              <w:rPr>
                <w:rFonts w:ascii="Times New Roman;serif" w:hAnsi="Times New Roman;serif"/>
                <w:b/>
                <w:color w:val="000000"/>
                <w:sz w:val="18"/>
                <w:u w:val="single"/>
              </w:rPr>
              <w:t>($ in millions)</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Consolidated Revenue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 Sterling</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10589" w:type="dxa"/>
            <w:gridSpan w:val="48"/>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0"/>
        </w:rPr>
        <w:t xml:space="preserve">REPORTABLE BUSINESS SEGMENT RESULTS </w:t>
      </w:r>
      <w:r>
        <w:rPr>
          <w:rFonts w:ascii="Times New Roman;serif" w:hAnsi="Times New Roman;serif"/>
          <w:b/>
          <w:i/>
          <w:color w:val="000000"/>
          <w:sz w:val="20"/>
        </w:rPr>
        <w:t>(for the three and six months ended June 30, 2026 compared to the three and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charitable organizations, and government agencies and their affiliated operators.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electronic pull tabs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pStyle w:val="TextBody"/>
        <w:bidi w:val="0"/>
        <w:spacing w:lineRule="auto" w:line="268" w:before="0" w:after="0"/>
        <w:ind w:left="0" w:right="0" w:firstLine="720"/>
        <w:jc w:val="left"/>
        <w:rPr/>
      </w:pPr>
      <w:r>
        <w:rPr>
          <w:rFonts w:ascii="Times New Roman;serif" w:hAnsi="Times New Roman;serif"/>
          <w:b w:val="false"/>
          <w:color w:val="000000"/>
          <w:sz w:val="20"/>
        </w:rPr>
        <w:t>For additional information, refer to the Gaming primary business activities summary included within “Business Segment Results” under</w:t>
      </w:r>
      <w:r>
        <w:rPr>
          <w:color w:val="000000"/>
        </w:rPr>
        <w:t xml:space="preserve">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of our 2025 10-K.</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revenue for the three and six months ended June 30, 2026 increased by 5% and 4%, respectively, as compared to the prior year periods, driven by growth in Gaming operations revenue, which benefited from an increase supported by our diversified portfolio of high-performing game franchises, along with an increase in revenue from Grover. The increase in Gaming revenue also benefited from Table products growth for the three and six months ended June 30, 2026. Gaming machine sales decreased, as the prior year periods primarily benefited from the timing of North America VLT shipments and timing of international shipments impacting the six-month current year period, while Gaming systems revenue decreased due to lower hardware sales as compared to the prior year periods.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Our growth is driven by the continued strength of our diversified portfolio of successful game franchises and the success of our </w:t>
      </w:r>
      <w:r>
        <w:rPr>
          <w:rFonts w:ascii="Times New Roman;serif" w:hAnsi="Times New Roman;serif"/>
          <w:b w:val="false"/>
          <w:i/>
          <w:color w:val="000000"/>
          <w:sz w:val="20"/>
        </w:rPr>
        <w:t>COSMIC</w:t>
      </w:r>
      <w:r>
        <w:rPr>
          <w:rFonts w:ascii="Times New Roman;serif" w:hAnsi="Times New Roman;serif"/>
          <w:b w:val="false"/>
          <w:color w:val="000000"/>
          <w:sz w:val="13"/>
        </w:rPr>
        <w:t>®</w:t>
      </w:r>
      <w:r>
        <w:rPr>
          <w:rFonts w:ascii="Times New Roman;serif" w:hAnsi="Times New Roman;serif"/>
          <w:b w:val="false"/>
          <w:color w:val="000000"/>
          <w:sz w:val="20"/>
        </w:rPr>
        <w:t xml:space="preserve">, </w:t>
      </w:r>
      <w:r>
        <w:rPr>
          <w:rFonts w:ascii="Times New Roman;serif" w:hAnsi="Times New Roman;serif"/>
          <w:b w:val="false"/>
          <w:i/>
          <w:color w:val="000000"/>
          <w:sz w:val="20"/>
        </w:rPr>
        <w:t>COSMIC UPRIGHT</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LIGHTWAVE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LIGHTWAVE SOLAR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cabinets. While demand remains strong, we are actively monitoring any impact of tariffs, inflationary pressures, supply chain disruptions, geopolitical uncertainty, and macroeconomic uncertainty that may impact our operations and financial results. See </w:t>
      </w:r>
      <w:r>
        <w:rPr>
          <w:rFonts w:ascii="Times New Roman;serif" w:hAnsi="Times New Roman;serif"/>
          <w:b w:val="false"/>
          <w:i/>
          <w:color w:val="000000"/>
          <w:sz w:val="20"/>
        </w:rPr>
        <w:t>Part</w:t>
      </w:r>
      <w:r>
        <w:rPr>
          <w:color w:val="000000"/>
        </w:rPr>
        <w:t xml:space="preserve"> </w:t>
      </w:r>
      <w:r>
        <w:rPr>
          <w:rFonts w:ascii="Times New Roman;serif" w:hAnsi="Times New Roman;serif"/>
          <w:b w:val="false"/>
          <w:i/>
          <w:color w:val="000000"/>
          <w:sz w:val="20"/>
        </w:rPr>
        <w:t>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within our 2025 10-K for further information regarding these factors which may have an impact on our Gaming business.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KPIs</w:t>
      </w:r>
    </w:p>
    <w:tbl>
      <w:tblPr>
        <w:tblW w:w="4649" w:type="dxa"/>
        <w:jc w:val="center"/>
        <w:tblInd w:w="0" w:type="dxa"/>
        <w:tblLayout w:type="fixed"/>
        <w:tblCellMar>
          <w:top w:w="28" w:type="dxa"/>
          <w:left w:w="28" w:type="dxa"/>
          <w:bottom w:w="28" w:type="dxa"/>
          <w:right w:w="28" w:type="dxa"/>
        </w:tblCellMar>
      </w:tblPr>
      <w:tblGrid>
        <w:gridCol w:w="1489"/>
        <w:gridCol w:w="1308"/>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tc>
      </w:tr>
    </w:tbl>
    <w:p>
      <w:pPr>
        <w:pStyle w:val="TextBody"/>
        <w:bidi w:val="0"/>
        <w:spacing w:before="0" w:after="0"/>
        <w:jc w:val="center"/>
        <w:rPr/>
      </w:pPr>
      <w:r>
        <w:rPr/>
        <w:drawing>
          <wp:inline distT="0" distB="0" distL="0" distR="0">
            <wp:extent cx="2143125" cy="2924175"/>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5"/>
                    <a:stretch>
                      <a:fillRect/>
                    </a:stretch>
                  </pic:blipFill>
                  <pic:spPr bwMode="auto">
                    <a:xfrm>
                      <a:off x="0" y="0"/>
                      <a:ext cx="2143125" cy="2924175"/>
                    </a:xfrm>
                    <a:prstGeom prst="rect">
                      <a:avLst/>
                    </a:prstGeom>
                  </pic:spPr>
                </pic:pic>
              </a:graphicData>
            </a:graphic>
          </wp:inline>
        </w:drawing>
      </w:r>
      <w:bookmarkStart w:id="3" w:name="i-4"/>
      <w:bookmarkEnd w:id="3"/>
      <w:r>
        <w:rPr/>
        <w:drawing>
          <wp:inline distT="0" distB="0" distL="0" distR="0">
            <wp:extent cx="2143125" cy="2924175"/>
            <wp:effectExtent l="0" t="0" r="0" b="0"/>
            <wp:docPr id="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 descr=""/>
                    <pic:cNvPicPr>
                      <a:picLocks noChangeAspect="1" noChangeArrowheads="1"/>
                    </pic:cNvPicPr>
                  </pic:nvPicPr>
                  <pic:blipFill>
                    <a:blip r:embed="rId6"/>
                    <a:stretch>
                      <a:fillRect/>
                    </a:stretch>
                  </pic:blipFill>
                  <pic:spPr bwMode="auto">
                    <a:xfrm>
                      <a:off x="0" y="0"/>
                      <a:ext cx="2143125" cy="2924175"/>
                    </a:xfrm>
                    <a:prstGeom prst="rect">
                      <a:avLst/>
                    </a:prstGeom>
                  </pic:spPr>
                </pic:pic>
              </a:graphicData>
            </a:graphic>
          </wp:inline>
        </w:drawing>
      </w:r>
      <w:bookmarkStart w:id="4" w:name="i-5"/>
      <w:bookmarkEnd w:id="4"/>
      <w:r>
        <w:rPr/>
        <w:drawing>
          <wp:inline distT="0" distB="0" distL="0" distR="0">
            <wp:extent cx="2143125" cy="2924175"/>
            <wp:effectExtent l="0" t="0" r="0" b="0"/>
            <wp:docPr id="4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6" descr=""/>
                    <pic:cNvPicPr>
                      <a:picLocks noChangeAspect="1" noChangeArrowheads="1"/>
                    </pic:cNvPicPr>
                  </pic:nvPicPr>
                  <pic:blipFill>
                    <a:blip r:embed="rId7"/>
                    <a:stretch>
                      <a:fillRect/>
                    </a:stretch>
                  </pic:blipFill>
                  <pic:spPr bwMode="auto">
                    <a:xfrm>
                      <a:off x="0" y="0"/>
                      <a:ext cx="2143125" cy="2924175"/>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670" w:type="dxa"/>
        <w:jc w:val="center"/>
        <w:tblInd w:w="0" w:type="dxa"/>
        <w:tblLayout w:type="fixed"/>
        <w:tblCellMar>
          <w:top w:w="28" w:type="dxa"/>
          <w:left w:w="28" w:type="dxa"/>
          <w:bottom w:w="28" w:type="dxa"/>
          <w:right w:w="28" w:type="dxa"/>
        </w:tblCellMar>
      </w:tblPr>
      <w:tblGrid>
        <w:gridCol w:w="663"/>
        <w:gridCol w:w="253"/>
        <w:gridCol w:w="255"/>
        <w:gridCol w:w="211"/>
        <w:gridCol w:w="721"/>
        <w:gridCol w:w="109"/>
        <w:gridCol w:w="109"/>
        <w:gridCol w:w="109"/>
        <w:gridCol w:w="109"/>
        <w:gridCol w:w="211"/>
        <w:gridCol w:w="721"/>
        <w:gridCol w:w="109"/>
        <w:gridCol w:w="109"/>
        <w:gridCol w:w="109"/>
        <w:gridCol w:w="109"/>
        <w:gridCol w:w="211"/>
        <w:gridCol w:w="526"/>
        <w:gridCol w:w="109"/>
        <w:gridCol w:w="109"/>
        <w:gridCol w:w="109"/>
        <w:gridCol w:w="109"/>
        <w:gridCol w:w="216"/>
        <w:gridCol w:w="190"/>
        <w:gridCol w:w="271"/>
        <w:gridCol w:w="109"/>
        <w:gridCol w:w="109"/>
        <w:gridCol w:w="109"/>
        <w:gridCol w:w="211"/>
        <w:gridCol w:w="721"/>
        <w:gridCol w:w="109"/>
        <w:gridCol w:w="109"/>
        <w:gridCol w:w="109"/>
        <w:gridCol w:w="109"/>
        <w:gridCol w:w="211"/>
        <w:gridCol w:w="721"/>
        <w:gridCol w:w="109"/>
        <w:gridCol w:w="109"/>
        <w:gridCol w:w="109"/>
        <w:gridCol w:w="109"/>
        <w:gridCol w:w="211"/>
        <w:gridCol w:w="511"/>
        <w:gridCol w:w="109"/>
        <w:gridCol w:w="109"/>
        <w:gridCol w:w="109"/>
        <w:gridCol w:w="109"/>
        <w:gridCol w:w="187"/>
        <w:gridCol w:w="189"/>
        <w:gridCol w:w="316"/>
      </w:tblGrid>
      <w:tr>
        <w:trPr/>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 in millions, except per unit amounts)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vs. 2025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Gaming operations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systems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Table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U.S. and Canada units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 units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Installed base at period end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revenue per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Gaming machine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new unit shipments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new unit shipments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new unit shipments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sales price per new unit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86" w:type="dxa"/>
            <w:gridSpan w:val="21"/>
            <w:tcBorders/>
          </w:tcPr>
          <w:p>
            <w:pPr>
              <w:pStyle w:val="TableContents"/>
              <w:bidi w:val="0"/>
              <w:spacing w:before="0" w:after="283"/>
              <w:jc w:val="left"/>
              <w:rPr>
                <w:sz w:val="4"/>
                <w:szCs w:val="4"/>
              </w:rPr>
            </w:pPr>
            <w:r>
              <w:rPr>
                <w:sz w:val="4"/>
                <w:szCs w:val="4"/>
              </w:rPr>
            </w:r>
          </w:p>
        </w:tc>
      </w:tr>
      <w:tr>
        <w:trPr/>
        <w:tc>
          <w:tcPr>
            <w:tcW w:w="10670"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Inclusive of Grover installed base. During the fourth quarter of 2025, we revised the calculation of U.S. and Canada Average Daily Revenue per Unit (“ADRPU”) and updated the definition of our Grover installed base to fully align the methodology used across Grover and our legacy Gaming operations. The revision also incorporates a transition to presenting ADRPU on a net basis for WAP jackpots. Prior</w:t>
              <w:noBreakHyphen/>
              <w:t>period amounts have been revised to conform to the current presentation. These revisions did not have a material impact on underlying historical trends in the business.</w:t>
            </w:r>
          </w:p>
        </w:tc>
      </w:tr>
      <w:tr>
        <w:trPr/>
        <w:tc>
          <w:tcPr>
            <w:tcW w:w="10670"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 Units exclude those related to game content licensing. </w:t>
            </w:r>
          </w:p>
        </w:tc>
      </w:tr>
    </w:tbl>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Operations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operations revenue growth for the three and six months ended June 30, 2026 was primarily driven by increases of $14 million, or 7%, and $37 million, or 10%, respectively, from strong game performance of hit franchises, including our premium games, as well as increases of $24 million and $67 million, respectively, in revenue from Grover. Gaming operations for U.S. and Canada had a 2,271-unit increase in installed base from June 30, 2025 to June 30, 2026 and an increase in average daily revenue per unit of $2.83 and $1.46 for the three and six months ended June 30, 2026, respectively, as average daily revenue per unit growth related to premium U.S. and Canada units was partially offset by the inclusion of lower-yielding Grover units. Average daily revenue per unit for international units decreased by $0.59 for the three months ended June 30, 2026 and increased by $0.15 for the six months ended June 30, 2026. International ending installed base units decreased by 1,118 units from June 30, 2025 to June 30, 2026, primarily due to the expected closure of certain LBOs in the U.K.</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Machine Sales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machine sales revenue decreased by $7 million, or 4%, and $58 million, or 15%, for the three and six months ended June 30, 2026, respectively, as the prior year periods benefited from the timing of North America VLT shipments, with the six-month prior year period also benefiting from the timing of international shipments.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Gaming machine sales changes:</w:t>
      </w:r>
    </w:p>
    <w:tbl>
      <w:tblPr>
        <w:tblW w:w="10205" w:type="dxa"/>
        <w:jc w:val="center"/>
        <w:tblInd w:w="0" w:type="dxa"/>
        <w:tblLayout w:type="fixed"/>
        <w:tblCellMar>
          <w:top w:w="28" w:type="dxa"/>
          <w:left w:w="28" w:type="dxa"/>
          <w:bottom w:w="28" w:type="dxa"/>
          <w:right w:w="28" w:type="dxa"/>
        </w:tblCellMar>
      </w:tblPr>
      <w:tblGrid>
        <w:gridCol w:w="719"/>
        <w:gridCol w:w="474"/>
        <w:gridCol w:w="477"/>
        <w:gridCol w:w="427"/>
        <w:gridCol w:w="209"/>
        <w:gridCol w:w="149"/>
        <w:gridCol w:w="149"/>
        <w:gridCol w:w="149"/>
        <w:gridCol w:w="149"/>
        <w:gridCol w:w="427"/>
        <w:gridCol w:w="209"/>
        <w:gridCol w:w="149"/>
        <w:gridCol w:w="109"/>
        <w:gridCol w:w="109"/>
        <w:gridCol w:w="109"/>
        <w:gridCol w:w="247"/>
        <w:gridCol w:w="248"/>
        <w:gridCol w:w="109"/>
        <w:gridCol w:w="109"/>
        <w:gridCol w:w="109"/>
        <w:gridCol w:w="109"/>
        <w:gridCol w:w="231"/>
        <w:gridCol w:w="235"/>
        <w:gridCol w:w="271"/>
        <w:gridCol w:w="109"/>
        <w:gridCol w:w="109"/>
        <w:gridCol w:w="109"/>
        <w:gridCol w:w="427"/>
        <w:gridCol w:w="203"/>
        <w:gridCol w:w="143"/>
        <w:gridCol w:w="143"/>
        <w:gridCol w:w="143"/>
        <w:gridCol w:w="143"/>
        <w:gridCol w:w="500"/>
        <w:gridCol w:w="227"/>
        <w:gridCol w:w="143"/>
        <w:gridCol w:w="109"/>
        <w:gridCol w:w="109"/>
        <w:gridCol w:w="109"/>
        <w:gridCol w:w="321"/>
        <w:gridCol w:w="324"/>
        <w:gridCol w:w="109"/>
        <w:gridCol w:w="109"/>
        <w:gridCol w:w="109"/>
        <w:gridCol w:w="109"/>
        <w:gridCol w:w="194"/>
        <w:gridCol w:w="196"/>
        <w:gridCol w:w="326"/>
      </w:tblGrid>
      <w:tr>
        <w:trPr/>
        <w:tc>
          <w:tcPr>
            <w:tcW w:w="71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and Canada new unit shipments:</w:t>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new unit shipments</w:t>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new unit shipments:</w:t>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units</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 opening and expansion units</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new unit shipments</w:t>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Gaming Systems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Gaming systems revenue decreased 16% to $61 million for the three months ended June 30, 2026 and by 15% to $115 million for the six months ended June 30, 2026. The majority of the decreases were due to lower hardware sales as compared to the prior year periods.</w:t>
      </w:r>
    </w:p>
    <w:p>
      <w:pPr>
        <w:pStyle w:val="TextBody"/>
        <w:bidi w:val="0"/>
        <w:spacing w:lineRule="auto" w:line="288"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Table Products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Table products revenue increased 13% to $62 million for the three months ended June 30, 2026 and by 18% to $125 million for the six months ended June 30, 2026. The majority of the increases were due to higher utility sales, as compared to the prior year periods.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Operating Expenses and 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increased by $6 million and $25 million for the three and six months ended June 30, 2026, respectively, as compared to the prior year periods, primarily due to $8 million and $27 million in higher D&amp;A, respectively, of which $7 million and $24 million is related to Grover, and the remainder of which is related to increased Gaming operations investment. Operating expenses also increased due to $2 million and $16 million in higher salaries and benefits (including stock-based compensation) for the three and six months ended June 30, 2026, respectively. These increases were partially offset by $5 million and $18 million in lower cost of revenue, respectively, primarily associated with a decrease in Gaming machine sales.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increased by $27 million and $44 million for the three and six months ended June 30, 2026, respectively, while AEBITDA as a percentage of revenue (“AEBITDA margin”) increased to 55% and 54% for the three and six months ended June 30, 2026, respectively, as compared to 53% and 52%, respectively, for the prior year periods, primarily due to margin enhancement initiatives and a more favorable revenue mix.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SCIPLAY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SciPlay business segment is a leading developer and publisher of digital games on online platforms. SciPlay operates primarily in the social gaming market, which is characterized by gameplay online or on mobile devices that is social, competitive and self-directed in pace and session length. 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enhance gameplay. Once obtained, coins, chips and cards (either free or purchased) cannot be redeemed for cash nor exchanged for anything other than game play within SciPlay’s apps. SciPlay generates additional revenue through advertising arrangements in certain games, which was not material for the periods presented. Players who install these games receive free, unlimited gameplay that requires viewing of periodic in-game advertisements.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currently offers a variety of social casino games, including </w:t>
      </w:r>
      <w:r>
        <w:rPr>
          <w:rFonts w:ascii="Times New Roman;serif" w:hAnsi="Times New Roman;serif"/>
          <w:b w:val="false"/>
          <w:i/>
          <w:color w:val="000000"/>
          <w:sz w:val="20"/>
        </w:rPr>
        <w:t>JACKPOT PARTY® Casino, QUICK HIT® Slots, GOLD FISH® Casino, 88 FORTUNES® Slots, MONOPOLY Slots</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HOT SHOT CASINO®</w:t>
      </w:r>
      <w:r>
        <w:rPr>
          <w:rFonts w:ascii="Times New Roman;serif" w:hAnsi="Times New Roman;serif"/>
          <w:b w:val="false"/>
          <w:color w:val="000000"/>
          <w:sz w:val="20"/>
        </w:rPr>
        <w:t xml:space="preserve">. SciPlay continues to pursue its strategy of expanding into the online games market. Current casual game titles include </w:t>
      </w:r>
      <w:r>
        <w:rPr>
          <w:rFonts w:ascii="Times New Roman;serif" w:hAnsi="Times New Roman;serif"/>
          <w:b w:val="false"/>
          <w:i/>
          <w:color w:val="000000"/>
          <w:sz w:val="20"/>
        </w:rPr>
        <w:t>BINGO SHOWDOWN®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BACKGAMMON LIVE</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SciPlay </w:t>
      </w:r>
      <w:r>
        <w:rPr>
          <w:rFonts w:ascii="Times New Roman;serif" w:hAnsi="Times New Roman;serif"/>
          <w:b w:val="false"/>
          <w:color w:val="000000"/>
          <w:sz w:val="20"/>
        </w:rPr>
        <w:t xml:space="preserve">continually develops and tests various new games. SciPlay’s social casino games typically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include slots-style game play and occasionally include table games-style game play, while its casual games blend solitaire-style or bingo game play with adventure game features. All of SciPlay’s games are offered and played across multiple platforms, including </w:t>
      </w:r>
      <w:r>
        <w:rPr>
          <w:rFonts w:ascii="Times New Roman;serif" w:hAnsi="Times New Roman;serif"/>
          <w:b w:val="false"/>
          <w:i/>
          <w:color w:val="000000"/>
          <w:sz w:val="20"/>
        </w:rPr>
        <w:t>APPLE, GOOGLE, FACEBOOK, AMAZON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MICROSOFT</w:t>
      </w:r>
      <w:r>
        <w:rPr>
          <w:rFonts w:ascii="Times New Roman;serif" w:hAnsi="Times New Roman;serif"/>
          <w:b w:val="false"/>
          <w:color w:val="000000"/>
          <w:sz w:val="20"/>
        </w:rPr>
        <w:t xml:space="preserve">. Revenue generated via SciPlay’s proprietary direct-to-consumer platform continues to increase and represented approximately 28% of total SciPlay revenue for the six months ended June 30, 2026.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for the three and six months ended June 30, 2026, primarily due to a softer social casino free-to-play market and a decline in average monthly payers, largely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i/>
          <w:color w:val="000000"/>
          <w:sz w:val="20"/>
        </w:rPr>
        <w:t>Casino</w:t>
      </w:r>
      <w:r>
        <w:rPr>
          <w:rFonts w:ascii="Times New Roman;serif" w:hAnsi="Times New Roman;serif"/>
          <w:b w:val="false"/>
          <w:color w:val="000000"/>
          <w:sz w:val="20"/>
        </w:rPr>
        <w:t>, partially offset by an increase in average monthly revenue per paying user. The overall social casino industry is experiencing pressures from sweepstakes operators and remains challenged amid a mature social casino market. SciPlay continues to deploy strategic game updates, utilize enhanced analytics, pursue international expansion and benefit from the proprietary direct-to-consumer platform.</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significant portion of SciPlay personnel located in Tel Aviv, Israel. In light of current circumstances in Israel and the Middle East,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 and KPIs</w:t>
      </w:r>
    </w:p>
    <w:tbl>
      <w:tblPr>
        <w:tblW w:w="4649" w:type="dxa"/>
        <w:jc w:val="center"/>
        <w:tblInd w:w="0" w:type="dxa"/>
        <w:tblLayout w:type="fixed"/>
        <w:tblCellMar>
          <w:top w:w="28" w:type="dxa"/>
          <w:left w:w="28" w:type="dxa"/>
          <w:bottom w:w="28" w:type="dxa"/>
          <w:right w:w="28" w:type="dxa"/>
        </w:tblCellMar>
      </w:tblPr>
      <w:tblGrid>
        <w:gridCol w:w="1489"/>
        <w:gridCol w:w="1308"/>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tc>
      </w:tr>
    </w:tbl>
    <w:p>
      <w:pPr>
        <w:pStyle w:val="TextBody"/>
        <w:bidi w:val="0"/>
        <w:spacing w:before="0" w:after="100"/>
        <w:jc w:val="center"/>
        <w:rPr/>
      </w:pPr>
      <w:r>
        <w:rPr/>
        <w:drawing>
          <wp:inline distT="0" distB="0" distL="0" distR="0">
            <wp:extent cx="2152650" cy="2143125"/>
            <wp:effectExtent l="0" t="0" r="0" b="0"/>
            <wp:docPr id="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7" descr=""/>
                    <pic:cNvPicPr>
                      <a:picLocks noChangeAspect="1" noChangeArrowheads="1"/>
                    </pic:cNvPicPr>
                  </pic:nvPicPr>
                  <pic:blipFill>
                    <a:blip r:embed="rId8"/>
                    <a:stretch>
                      <a:fillRect/>
                    </a:stretch>
                  </pic:blipFill>
                  <pic:spPr bwMode="auto">
                    <a:xfrm>
                      <a:off x="0" y="0"/>
                      <a:ext cx="2152650" cy="2143125"/>
                    </a:xfrm>
                    <a:prstGeom prst="rect">
                      <a:avLst/>
                    </a:prstGeom>
                  </pic:spPr>
                </pic:pic>
              </a:graphicData>
            </a:graphic>
          </wp:inline>
        </w:drawing>
      </w:r>
      <w:bookmarkStart w:id="6" w:name="i-7"/>
      <w:bookmarkEnd w:id="6"/>
      <w:r>
        <w:rPr/>
        <w:drawing>
          <wp:inline distT="0" distB="0" distL="0" distR="0">
            <wp:extent cx="2143125" cy="2143125"/>
            <wp:effectExtent l="0" t="0" r="0" b="0"/>
            <wp:docPr id="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8" descr=""/>
                    <pic:cNvPicPr>
                      <a:picLocks noChangeAspect="1" noChangeArrowheads="1"/>
                    </pic:cNvPicPr>
                  </pic:nvPicPr>
                  <pic:blipFill>
                    <a:blip r:embed="rId9"/>
                    <a:stretch>
                      <a:fillRect/>
                    </a:stretch>
                  </pic:blipFill>
                  <pic:spPr bwMode="auto">
                    <a:xfrm>
                      <a:off x="0" y="0"/>
                      <a:ext cx="2143125" cy="2143125"/>
                    </a:xfrm>
                    <a:prstGeom prst="rect">
                      <a:avLst/>
                    </a:prstGeom>
                  </pic:spPr>
                </pic:pic>
              </a:graphicData>
            </a:graphic>
          </wp:inline>
        </w:drawing>
      </w:r>
      <w:bookmarkStart w:id="7" w:name="i-8"/>
      <w:bookmarkEnd w:id="7"/>
      <w:r>
        <w:rPr/>
        <w:drawing>
          <wp:inline distT="0" distB="0" distL="0" distR="0">
            <wp:extent cx="2143125" cy="2143125"/>
            <wp:effectExtent l="0" t="0" r="0" b="0"/>
            <wp:docPr id="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9" descr=""/>
                    <pic:cNvPicPr>
                      <a:picLocks noChangeAspect="1" noChangeArrowheads="1"/>
                    </pic:cNvPicPr>
                  </pic:nvPicPr>
                  <pic:blipFill>
                    <a:blip r:embed="rId10"/>
                    <a:stretch>
                      <a:fillRect/>
                    </a:stretch>
                  </pic:blipFill>
                  <pic:spPr bwMode="auto">
                    <a:xfrm>
                      <a:off x="0" y="0"/>
                      <a:ext cx="2143125" cy="2143125"/>
                    </a:xfrm>
                    <a:prstGeom prst="rect">
                      <a:avLst/>
                    </a:prstGeom>
                  </pic:spPr>
                </pic:pic>
              </a:graphicData>
            </a:graphic>
          </wp:inline>
        </w:drawing>
      </w:r>
      <w:bookmarkStart w:id="8" w:name="i-9"/>
      <w:bookmarkEnd w:id="8"/>
    </w:p>
    <w:tbl>
      <w:tblPr>
        <w:tblW w:w="7152" w:type="dxa"/>
        <w:jc w:val="center"/>
        <w:tblInd w:w="0" w:type="dxa"/>
        <w:tblLayout w:type="fixed"/>
        <w:tblCellMar>
          <w:top w:w="28" w:type="dxa"/>
          <w:left w:w="28" w:type="dxa"/>
          <w:bottom w:w="28" w:type="dxa"/>
          <w:right w:w="28" w:type="dxa"/>
        </w:tblCellMar>
      </w:tblPr>
      <w:tblGrid>
        <w:gridCol w:w="179"/>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157"/>
        <w:gridCol w:w="222"/>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75" w:type="dxa"/>
            <w:gridSpan w:val="30"/>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949" w:type="dxa"/>
            <w:gridSpan w:val="12"/>
            <w:tcBorders/>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45"/>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16"/>
              </w:rPr>
            </w:pPr>
            <w:r>
              <w:rPr>
                <w:rFonts w:ascii="Times New Roman;serif" w:hAnsi="Times New Roman;serif"/>
                <w:b w:val="false"/>
                <w:color w:val="000000"/>
                <w:sz w:val="16"/>
              </w:rPr>
              <w:t xml:space="preserve">(1) Other primarily represents advertising revenue, which was not material for the periods presented.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806" w:type="dxa"/>
        <w:jc w:val="center"/>
        <w:tblInd w:w="0" w:type="dxa"/>
        <w:tblLayout w:type="fixed"/>
        <w:tblCellMar>
          <w:top w:w="28" w:type="dxa"/>
          <w:left w:w="28" w:type="dxa"/>
          <w:bottom w:w="28" w:type="dxa"/>
          <w:right w:w="28" w:type="dxa"/>
        </w:tblCellMar>
      </w:tblPr>
      <w:tblGrid>
        <w:gridCol w:w="1027"/>
        <w:gridCol w:w="380"/>
        <w:gridCol w:w="274"/>
        <w:gridCol w:w="248"/>
        <w:gridCol w:w="358"/>
        <w:gridCol w:w="318"/>
        <w:gridCol w:w="109"/>
        <w:gridCol w:w="109"/>
        <w:gridCol w:w="109"/>
        <w:gridCol w:w="248"/>
        <w:gridCol w:w="358"/>
        <w:gridCol w:w="318"/>
        <w:gridCol w:w="109"/>
        <w:gridCol w:w="109"/>
        <w:gridCol w:w="109"/>
        <w:gridCol w:w="211"/>
        <w:gridCol w:w="263"/>
        <w:gridCol w:w="263"/>
        <w:gridCol w:w="109"/>
        <w:gridCol w:w="109"/>
        <w:gridCol w:w="109"/>
        <w:gridCol w:w="188"/>
        <w:gridCol w:w="188"/>
        <w:gridCol w:w="271"/>
        <w:gridCol w:w="109"/>
        <w:gridCol w:w="109"/>
        <w:gridCol w:w="109"/>
        <w:gridCol w:w="248"/>
        <w:gridCol w:w="336"/>
        <w:gridCol w:w="340"/>
        <w:gridCol w:w="109"/>
        <w:gridCol w:w="109"/>
        <w:gridCol w:w="109"/>
        <w:gridCol w:w="248"/>
        <w:gridCol w:w="336"/>
        <w:gridCol w:w="340"/>
        <w:gridCol w:w="109"/>
        <w:gridCol w:w="109"/>
        <w:gridCol w:w="109"/>
        <w:gridCol w:w="211"/>
        <w:gridCol w:w="263"/>
        <w:gridCol w:w="263"/>
        <w:gridCol w:w="109"/>
        <w:gridCol w:w="109"/>
        <w:gridCol w:w="109"/>
        <w:gridCol w:w="188"/>
        <w:gridCol w:w="188"/>
        <w:gridCol w:w="271"/>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372" w:type="dxa"/>
            <w:gridSpan w:val="3"/>
            <w:tcBorders/>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 unless otherwise noted)</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Third-party platforms and other</w:t>
            </w:r>
            <w:r>
              <w:rPr>
                <w:rFonts w:ascii="Times New Roman;serif" w:hAnsi="Times New Roman;serif"/>
                <w:b w:val="false"/>
                <w:color w:val="000000"/>
                <w:sz w:val="13"/>
              </w:rPr>
              <w:t>(1)</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Direct-to-consumer platforms</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KPIs:</w:t>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In-App Purchases:</w:t>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MAU</w:t>
            </w:r>
            <w:r>
              <w:rPr>
                <w:rFonts w:ascii="Times New Roman;serif" w:hAnsi="Times New Roman;serif"/>
                <w:b w:val="false"/>
                <w:color w:val="000000"/>
                <w:sz w:val="13"/>
              </w:rPr>
              <w:t>(2)</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DAU</w:t>
            </w:r>
            <w:r>
              <w:rPr>
                <w:rFonts w:ascii="Times New Roman;serif" w:hAnsi="Times New Roman;serif"/>
                <w:b w:val="false"/>
                <w:color w:val="000000"/>
                <w:sz w:val="13"/>
              </w:rPr>
              <w:t>(3)</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ARPDAU</w:t>
            </w:r>
            <w:r>
              <w:rPr>
                <w:rFonts w:ascii="Times New Roman;serif" w:hAnsi="Times New Roman;serif"/>
                <w:b w:val="false"/>
                <w:color w:val="000000"/>
                <w:sz w:val="13"/>
              </w:rPr>
              <w:t>(4)</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MPUs</w:t>
            </w: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thousands)</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AMRPPU</w:t>
            </w:r>
            <w:r>
              <w:rPr>
                <w:rFonts w:ascii="Times New Roman;serif" w:hAnsi="Times New Roman;serif"/>
                <w:b w:val="false"/>
                <w:color w:val="000000"/>
                <w:sz w:val="13"/>
              </w:rPr>
              <w:t>(6)</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Payer Conversion Rate</w:t>
            </w:r>
            <w:r>
              <w:rPr>
                <w:rFonts w:ascii="Times New Roman;serif" w:hAnsi="Times New Roman;serif"/>
                <w:b w:val="false"/>
                <w:color w:val="000000"/>
                <w:sz w:val="13"/>
              </w:rPr>
              <w:t>(7)</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34" w:type="dxa"/>
            <w:gridSpan w:val="4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pp = percentage points.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Other primarily represents advertising revenue, which was not material for the periods presented.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MAU = Monthly Active Users is a count of visitors to our sites during a month.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(3) DAU = Daily Active Users is a count of visitors to our sites during a day. An individual who plays multiple games or from multiple devices may, in certain circumstances, be counted more than once. However, we use third-party data to limit the occurrence of multiple counting.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 ARPDAU = Average Revenue Per DAU is calculated by dividing revenue for a period by the DAU for the period by the number of days for the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 MPU = Monthly Paying Users is the number of individual users who made an in-game purchase during a particular month.</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 AMRPPU = Average Monthly Revenue Per Paying User is calculated by dividing average monthly revenue by average MPUs for the applicable time period.</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(7) Payer conversion rate is calculated by dividing average MPU for the period by the average MAU for the same period.</w:t>
            </w:r>
          </w:p>
        </w:tc>
        <w:tc>
          <w:tcPr>
            <w:tcW w:w="37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SciPlay revenue decreased by 9% and 8% for the three and six months ended June 30, 2026, respectively, due to a softer social casino free-to-play market and a decline in average monthly payers, primarily attributable to </w:t>
      </w:r>
      <w:r>
        <w:rPr>
          <w:rFonts w:ascii="Times New Roman;serif" w:hAnsi="Times New Roman;serif"/>
          <w:b w:val="false"/>
          <w:i/>
          <w:color w:val="000000"/>
          <w:sz w:val="20"/>
        </w:rPr>
        <w:t>Jackpot Party®</w:t>
      </w:r>
      <w:r>
        <w:rPr>
          <w:color w:val="000000"/>
        </w:rPr>
        <w:t xml:space="preserve"> </w:t>
      </w:r>
      <w:r>
        <w:rPr>
          <w:rFonts w:ascii="Times New Roman;serif" w:hAnsi="Times New Roman;serif"/>
          <w:b w:val="false"/>
          <w:i/>
          <w:color w:val="000000"/>
          <w:sz w:val="20"/>
        </w:rPr>
        <w:t>Casino,</w:t>
      </w:r>
      <w:r>
        <w:rPr>
          <w:color w:val="000000"/>
        </w:rPr>
        <w:t xml:space="preserve"> </w:t>
      </w:r>
      <w:r>
        <w:rPr>
          <w:rFonts w:ascii="Times New Roman;serif" w:hAnsi="Times New Roman;serif"/>
          <w:b w:val="false"/>
          <w:color w:val="000000"/>
          <w:sz w:val="20"/>
        </w:rPr>
        <w:t xml:space="preserve">partially offset by an increase in average monthly revenue per paying user. Direct-to-consumer revenue increased by 51% and 63% for the three and six months ended June 30, 2026, respectively, as compared to the prior year periods.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Average MAU and average MPU for the three and six months ended June 30, 2026 decreased due to the turnover in users. ARPDAU decreased slightly while AMRPPU increased, despite payer conversion decreasing slightly, as SciPlay continues to enhance content and features.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Payer conversion rates decreased slightly, as average MPU declined by a greater percentage than average MAU.</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Operating Expenses and AEBITDA</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decreased 1% and 7% for the three and six months ended June 30, 2026, respectively, as compared to the prior year periods, which was primarily driven by lower cost of revenue and higher margin on our direct-to-consumer platform revenue, as well as lower user acquisition costs of $6 million and $12 million for the three and six months ended June 30, 2026, respectively, partially offset by higher D&amp;A costs of $9 million and $11 million, respectively.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AEBITDA for the three months ended June 30, 2026 decreased by $2 million to $72 million as compared to the prior year period, while it remained flat for the six months ended June 30, 2026, as compared to the prior year period. AEBITDA margin increased by 3 and 4 percentage points to 40% and 38%, respectively, primarily due to revenue generated via our proprietary direct-to-consumer platform, which yields higher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iGAMING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operators full control over all areas of digital gaming operations. Generally, we host the play of our game content, which is integrated with the online casino operators’ websites.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Current Year Update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expand our customer base and capitalize on growth in the North American and international markets, including emerging markets, by leveraging our industry leading platforms, content and solutions, as well as investing in our ability to scale our own original U.S. and international land-based content offering.</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 November 2025, the U.K. Government’s Autumn Budget increased gambling duties that increase tax liabilities for our customers and consequently impact our revenue and earnings, which became effective April 1, 2026. We continue to assess the impact on our iGaming segment, which includes U.K. revenue representing approximately 15% to 20% of total iGaming revenue subject to this tax. See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within our 2025 10-K for further information regarding U.K. Government gaming tax changes.</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Results of Operations</w:t>
      </w:r>
    </w:p>
    <w:tbl>
      <w:tblPr>
        <w:tblW w:w="4649" w:type="dxa"/>
        <w:jc w:val="center"/>
        <w:tblInd w:w="0" w:type="dxa"/>
        <w:tblLayout w:type="fixed"/>
        <w:tblCellMar>
          <w:top w:w="28" w:type="dxa"/>
          <w:left w:w="28" w:type="dxa"/>
          <w:bottom w:w="28" w:type="dxa"/>
          <w:right w:w="28" w:type="dxa"/>
        </w:tblCellMar>
      </w:tblPr>
      <w:tblGrid>
        <w:gridCol w:w="1489"/>
        <w:gridCol w:w="1308"/>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tc>
      </w:tr>
    </w:tbl>
    <w:p>
      <w:pPr>
        <w:pStyle w:val="TextBody"/>
        <w:bidi w:val="0"/>
        <w:spacing w:before="0" w:after="160"/>
        <w:jc w:val="center"/>
        <w:rPr/>
      </w:pPr>
      <w:r>
        <w:rPr/>
        <w:drawing>
          <wp:inline distT="0" distB="0" distL="0" distR="0">
            <wp:extent cx="2152650" cy="2143125"/>
            <wp:effectExtent l="0" t="0" r="0" b="0"/>
            <wp:docPr id="4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0" descr=""/>
                    <pic:cNvPicPr>
                      <a:picLocks noChangeAspect="1" noChangeArrowheads="1"/>
                    </pic:cNvPicPr>
                  </pic:nvPicPr>
                  <pic:blipFill>
                    <a:blip r:embed="rId11"/>
                    <a:stretch>
                      <a:fillRect/>
                    </a:stretch>
                  </pic:blipFill>
                  <pic:spPr bwMode="auto">
                    <a:xfrm>
                      <a:off x="0" y="0"/>
                      <a:ext cx="2152650" cy="2143125"/>
                    </a:xfrm>
                    <a:prstGeom prst="rect">
                      <a:avLst/>
                    </a:prstGeom>
                  </pic:spPr>
                </pic:pic>
              </a:graphicData>
            </a:graphic>
          </wp:inline>
        </w:drawing>
      </w:r>
      <w:bookmarkStart w:id="9" w:name="i-10"/>
      <w:bookmarkEnd w:id="9"/>
      <w:r>
        <w:rPr/>
        <w:drawing>
          <wp:inline distT="0" distB="0" distL="0" distR="0">
            <wp:extent cx="2143125" cy="2143125"/>
            <wp:effectExtent l="0" t="0" r="0" b="0"/>
            <wp:docPr id="5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1" descr=""/>
                    <pic:cNvPicPr>
                      <a:picLocks noChangeAspect="1" noChangeArrowheads="1"/>
                    </pic:cNvPicPr>
                  </pic:nvPicPr>
                  <pic:blipFill>
                    <a:blip r:embed="rId12"/>
                    <a:stretch>
                      <a:fillRect/>
                    </a:stretch>
                  </pic:blipFill>
                  <pic:spPr bwMode="auto">
                    <a:xfrm>
                      <a:off x="0" y="0"/>
                      <a:ext cx="2143125" cy="2143125"/>
                    </a:xfrm>
                    <a:prstGeom prst="rect">
                      <a:avLst/>
                    </a:prstGeom>
                  </pic:spPr>
                </pic:pic>
              </a:graphicData>
            </a:graphic>
          </wp:inline>
        </w:drawing>
      </w:r>
      <w:bookmarkStart w:id="10" w:name="i-11"/>
      <w:bookmarkEnd w:id="10"/>
      <w:r>
        <w:rPr/>
        <w:drawing>
          <wp:inline distT="0" distB="0" distL="0" distR="0">
            <wp:extent cx="2143125" cy="2143125"/>
            <wp:effectExtent l="0" t="0" r="0" b="0"/>
            <wp:docPr id="5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2" descr=""/>
                    <pic:cNvPicPr>
                      <a:picLocks noChangeAspect="1" noChangeArrowheads="1"/>
                    </pic:cNvPicPr>
                  </pic:nvPicPr>
                  <pic:blipFill>
                    <a:blip r:embed="rId13"/>
                    <a:stretch>
                      <a:fillRect/>
                    </a:stretch>
                  </pic:blipFill>
                  <pic:spPr bwMode="auto">
                    <a:xfrm>
                      <a:off x="0" y="0"/>
                      <a:ext cx="2143125" cy="2143125"/>
                    </a:xfrm>
                    <a:prstGeom prst="rect">
                      <a:avLst/>
                    </a:prstGeom>
                  </pic:spPr>
                </pic:pic>
              </a:graphicData>
            </a:graphic>
          </wp:inline>
        </w:drawing>
      </w:r>
      <w:bookmarkStart w:id="11" w:name="i-12"/>
      <w:bookmarkEnd w:id="11"/>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iGaming revenue for the three and six months ended June 30, 2026 increased 14% and 16%, respectively, as compared to the prior year periods. Revenue growth was primarily driven by continuing momentum in the North American market underpinned by 1PP growth and the expansion of our partner network, despite increased U.K. gambling duties, which became effective on April 1, 2026. Wagers processed through our Open Gaming System for the three-month period ended June 30, 2026 increased to $31.3 billion from $26.6 billion during the prior year period.</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9% and 4% for the three and six months ended June 30, 2026, respectively, as higher costs in correlation with higher revenues were partially offset by $2 million and $9 million, respectively, in restructuring costs in the prior year periods, largely related to the discontinuation of our Live Casino operations. AEBITDA increased 18% and 20% for the three and six months ended June 30, 2026, respectively, and AEBITDA margin increased to 36% for both the three and six months ended June 30, 2026, primarily due to operational efficiencies and higher 1PP revenue mix.</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RECENTLY ISSUED ACCOUNTING GUIDANCE</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that any recently issued accounting guidance will have a significant effect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For a description of our policies regarding our critical accounting estimates, see “Critical Accounting Estimates” in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2025 10-K.</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There have been no significant changes in our critical accounting estimate policies or the application of those policies to our condensed consolidated financial statements from those presented in </w:t>
      </w:r>
      <w:r>
        <w:rPr>
          <w:rFonts w:ascii="Times New Roman;serif" w:hAnsi="Times New Roman;serif"/>
          <w:b w:val="false"/>
          <w:i/>
          <w:color w:val="000000"/>
          <w:sz w:val="20"/>
        </w:rPr>
        <w:t>Part II,</w:t>
      </w:r>
      <w:r>
        <w:rPr>
          <w:color w:val="000000"/>
        </w:rPr>
        <w:t xml:space="preserve"> </w:t>
      </w:r>
      <w:r>
        <w:rPr>
          <w:rFonts w:ascii="Times New Roman;serif" w:hAnsi="Times New Roman;serif"/>
          <w:b w:val="false"/>
          <w:i/>
          <w:color w:val="000000"/>
          <w:sz w:val="20"/>
        </w:rPr>
        <w:t>Item 7</w:t>
      </w:r>
      <w:r>
        <w:rPr>
          <w:color w:val="000000"/>
        </w:rPr>
        <w:t xml:space="preserve"> “</w:t>
      </w:r>
      <w:r>
        <w:rPr>
          <w:rFonts w:ascii="Times New Roman;serif" w:hAnsi="Times New Roman;serif"/>
          <w:b w:val="false"/>
          <w:color w:val="000000"/>
          <w:sz w:val="20"/>
        </w:rPr>
        <w:t>Management's Discussion and Analysis of Financial Condition and Results of Operations” included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LIQUIDITY, CAPITAL RESOURCES AND WORKING CAPITAL</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Liquidity</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principal sources of liquidity, other than cash flows provided by operating activities, were cash and cash equivalents as well as amounts available under the LNWI Revolver.</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and Available Revolver Capacity</w:t>
      </w:r>
    </w:p>
    <w:tbl>
      <w:tblPr>
        <w:tblW w:w="5337" w:type="dxa"/>
        <w:jc w:val="center"/>
        <w:tblInd w:w="0" w:type="dxa"/>
        <w:tblLayout w:type="fixed"/>
        <w:tblCellMar>
          <w:top w:w="28" w:type="dxa"/>
          <w:left w:w="28" w:type="dxa"/>
          <w:bottom w:w="28" w:type="dxa"/>
          <w:right w:w="28" w:type="dxa"/>
        </w:tblCellMar>
      </w:tblPr>
      <w:tblGrid>
        <w:gridCol w:w="818"/>
        <w:gridCol w:w="718"/>
        <w:gridCol w:w="729"/>
        <w:gridCol w:w="310"/>
        <w:gridCol w:w="685"/>
        <w:gridCol w:w="160"/>
        <w:gridCol w:w="109"/>
        <w:gridCol w:w="109"/>
        <w:gridCol w:w="109"/>
        <w:gridCol w:w="402"/>
        <w:gridCol w:w="891"/>
        <w:gridCol w:w="297"/>
      </w:tblGrid>
      <w:tr>
        <w:trPr/>
        <w:tc>
          <w:tcPr>
            <w:tcW w:w="8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 capacity</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Revolver capacity drawn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cash held by our foreign subsidiaries was $143 million and $156 million as of June 30, 2026 and December 31, 2025, respectively. We believe that substantially all cash held outside the U.S. is free from legal encumbrances or similar restrictions that would prevent it from being available to meet our global liquidity needs.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our indebtedness and other obligations depends on our ability to generate cash in the future. We may, from time to time, repurchase or otherwise repay, retire or refinance our debt, through our subsidiaries or otherwise. We may also repurchase shares of our outstanding common stock (including CDIs) through our Board-approved share repurchase program, up to an aggregate amount of $1.5 billion through June 12, 2027. During the six months ended June 30, 2026, we repurchased approximately 1.8 million CDIs at an aggregate cost of $156 million (excluding excise taxes). On February 19, 2026, we retired all existing treasury shares and restored such shares to the status of authorized but unissued shares in accordance with the Nevada Revised Statutes. All future shares (including CDIs) repurchased under our share repurchase program will also be retired and restored to the status of authorized but unissued shares.</w:t>
      </w:r>
    </w:p>
    <w:p>
      <w:pPr>
        <w:pStyle w:val="TextBody"/>
        <w:bidi w:val="0"/>
        <w:spacing w:lineRule="auto" w:line="288" w:before="0" w:after="160"/>
        <w:ind w:left="0" w:right="0" w:firstLine="720"/>
        <w:jc w:val="left"/>
        <w:rPr/>
      </w:pPr>
      <w:r>
        <w:rPr>
          <w:rFonts w:ascii="Times New Roman;serif" w:hAnsi="Times New Roman;serif"/>
          <w:b w:val="false"/>
          <w:color w:val="000000"/>
          <w:sz w:val="20"/>
        </w:rPr>
        <w:t xml:space="preserve">In the event we pursue significant acquisitions or other expansion opportunities, or conduct significant repurchases of our outstanding securities, we may need to raise additional capital, either through the public or private issuance of equity or debt securities or through additional borrowings under our existing or additional financing arrangements, which sources of funds may not necessarily be available on terms acceptable to us, or at all.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serif" w:hAnsi="Times New Roman;serif"/>
          <w:b w:val="false"/>
          <w:i/>
          <w:color w:val="000000"/>
          <w:sz w:val="20"/>
        </w:rPr>
        <w:t>Part I</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Item 1A </w:t>
      </w:r>
      <w:r>
        <w:rPr>
          <w:rFonts w:ascii="Times New Roman;serif" w:hAnsi="Times New Roman;serif"/>
          <w:b w:val="false"/>
          <w:color w:val="000000"/>
          <w:sz w:val="20"/>
        </w:rPr>
        <w:t>in our 2025 10-K.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22, 2026, we amended the LNWI Credit Agreement and reduced the applicable margin on the LNWI Term Loan B. Following the amendment, the interest rate for the Term Loan B is either (i) the Adjusted Term SOFR Rate (as defined in the LNWI Credit Agreement) plus 2.00% per annum or (ii) a base rate plus 1.00%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 Summary</w:t>
      </w:r>
    </w:p>
    <w:tbl>
      <w:tblPr>
        <w:tblW w:w="10205" w:type="dxa"/>
        <w:jc w:val="center"/>
        <w:tblInd w:w="0" w:type="dxa"/>
        <w:tblLayout w:type="fixed"/>
        <w:tblCellMar>
          <w:top w:w="28" w:type="dxa"/>
          <w:left w:w="28" w:type="dxa"/>
          <w:bottom w:w="28" w:type="dxa"/>
          <w:right w:w="28" w:type="dxa"/>
        </w:tblCellMar>
      </w:tblPr>
      <w:tblGrid>
        <w:gridCol w:w="2009"/>
        <w:gridCol w:w="1734"/>
        <w:gridCol w:w="1734"/>
        <w:gridCol w:w="242"/>
        <w:gridCol w:w="534"/>
        <w:gridCol w:w="124"/>
        <w:gridCol w:w="124"/>
        <w:gridCol w:w="124"/>
        <w:gridCol w:w="124"/>
        <w:gridCol w:w="242"/>
        <w:gridCol w:w="534"/>
        <w:gridCol w:w="124"/>
        <w:gridCol w:w="109"/>
        <w:gridCol w:w="796"/>
        <w:gridCol w:w="109"/>
        <w:gridCol w:w="109"/>
        <w:gridCol w:w="109"/>
        <w:gridCol w:w="325"/>
        <w:gridCol w:w="558"/>
        <w:gridCol w:w="168"/>
        <w:gridCol w:w="109"/>
        <w:gridCol w:w="164"/>
      </w:tblGrid>
      <w:tr>
        <w:trPr/>
        <w:tc>
          <w:tcPr>
            <w:tcW w:w="20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51" w:type="dxa"/>
            <w:gridSpan w:val="8"/>
            <w:tcBorders/>
          </w:tcPr>
          <w:p>
            <w:pPr>
              <w:pStyle w:val="TableContents"/>
              <w:bidi w:val="0"/>
              <w:spacing w:before="0" w:after="283"/>
              <w:jc w:val="left"/>
              <w:rPr>
                <w:sz w:val="4"/>
                <w:szCs w:val="4"/>
              </w:rPr>
            </w:pPr>
            <w:r>
              <w:rPr>
                <w:sz w:val="4"/>
                <w:szCs w:val="4"/>
              </w:rPr>
            </w:r>
          </w:p>
        </w:tc>
      </w:tr>
      <w:tr>
        <w:trPr/>
        <w:tc>
          <w:tcPr>
            <w:tcW w:w="5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7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3456" w:type="dxa"/>
            <w:gridSpan w:val="1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bl>
      <w:tblPr>
        <w:tblW w:w="10205" w:type="dxa"/>
        <w:jc w:val="center"/>
        <w:tblInd w:w="0" w:type="dxa"/>
        <w:tblLayout w:type="fixed"/>
        <w:tblCellMar>
          <w:top w:w="28" w:type="dxa"/>
          <w:left w:w="28" w:type="dxa"/>
          <w:bottom w:w="28" w:type="dxa"/>
          <w:right w:w="28" w:type="dxa"/>
        </w:tblCellMar>
      </w:tblPr>
      <w:tblGrid>
        <w:gridCol w:w="1996"/>
        <w:gridCol w:w="1749"/>
        <w:gridCol w:w="1768"/>
        <w:gridCol w:w="240"/>
        <w:gridCol w:w="530"/>
        <w:gridCol w:w="124"/>
        <w:gridCol w:w="124"/>
        <w:gridCol w:w="124"/>
        <w:gridCol w:w="124"/>
        <w:gridCol w:w="240"/>
        <w:gridCol w:w="530"/>
        <w:gridCol w:w="124"/>
        <w:gridCol w:w="109"/>
        <w:gridCol w:w="796"/>
        <w:gridCol w:w="109"/>
        <w:gridCol w:w="109"/>
        <w:gridCol w:w="109"/>
        <w:gridCol w:w="319"/>
        <w:gridCol w:w="547"/>
        <w:gridCol w:w="165"/>
        <w:gridCol w:w="109"/>
        <w:gridCol w:w="160"/>
      </w:tblGrid>
      <w:tr>
        <w:trPr/>
        <w:tc>
          <w:tcPr>
            <w:tcW w:w="199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Variance</w:t>
            </w:r>
          </w:p>
        </w:tc>
        <w:tc>
          <w:tcPr>
            <w:tcW w:w="1627" w:type="dxa"/>
            <w:gridSpan w:val="8"/>
            <w:tcBorders/>
          </w:tcPr>
          <w:p>
            <w:pPr>
              <w:pStyle w:val="TableContents"/>
              <w:bidi w:val="0"/>
              <w:spacing w:before="0" w:after="283"/>
              <w:jc w:val="left"/>
              <w:rPr>
                <w:sz w:val="4"/>
                <w:szCs w:val="4"/>
              </w:rPr>
            </w:pPr>
            <w:r>
              <w:rPr>
                <w:sz w:val="4"/>
                <w:szCs w:val="4"/>
              </w:rPr>
            </w:r>
          </w:p>
        </w:tc>
      </w:tr>
      <w:tr>
        <w:trPr/>
        <w:tc>
          <w:tcPr>
            <w:tcW w:w="5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 millions)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accounts, excluding the effects of acquisitions</w:t>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51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primarily due to earnings growth coupled with favorable changes in working capital accounts. Changes in working capital accounts for the six months ended June 30, 2026, as compared to the prior year period, improved by $73 million primarily due to timing of receivables collections and payment of expenditures over the current year period, partially offset by $65 million in higher legal settlement payments during 2026.</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decreased primarily due to the Grover acquisition in the prior year period, partially offset by higher capital expenditures in the current year period, primarily driven by Gaming operations growth (inclusive of Grover). </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decreased primarily as a result of lower purchases of our outstanding common stock (including CDIs) under our share repurchase program, partially offset by increased debt repayments, net of borrowings. During the six months ended June 30, 2026 and 2025, we paid $163 million and $270 million, respectively, to purchase our common stock (including CDIs) (including $7 million and $4 million in excise taxes paid, respectively). The prior year included $800 million of borrowings incurred under the LNWI Term Loan A, which was used to fund the Grover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Credit Agreement and Other Debt</w:t>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For additional information regarding our credit agreements and other debt, interest rate risk and interest rate hedging instruments, see Notes 14 and 15 and </w:t>
      </w:r>
      <w:r>
        <w:rPr>
          <w:rFonts w:ascii="Times New Roman;serif" w:hAnsi="Times New Roman;serif"/>
          <w:b w:val="false"/>
          <w:i/>
          <w:color w:val="000000"/>
          <w:sz w:val="20"/>
        </w:rPr>
        <w:t>Part II</w:t>
      </w:r>
      <w:r>
        <w:rPr>
          <w:rFonts w:ascii="Times New Roman;serif" w:hAnsi="Times New Roman;serif"/>
          <w:b w:val="false"/>
          <w:color w:val="000000"/>
          <w:sz w:val="20"/>
        </w:rPr>
        <w:t xml:space="preserve">, </w:t>
      </w:r>
      <w:r>
        <w:rPr>
          <w:rFonts w:ascii="Times New Roman;serif" w:hAnsi="Times New Roman;serif"/>
          <w:b w:val="false"/>
          <w:i/>
          <w:color w:val="000000"/>
          <w:sz w:val="20"/>
        </w:rPr>
        <w:t>Item 7A</w:t>
      </w:r>
      <w:r>
        <w:rPr>
          <w:color w:val="000000"/>
        </w:rPr>
        <w:t xml:space="preserve"> “</w:t>
      </w:r>
      <w:r>
        <w:rPr>
          <w:rFonts w:ascii="Times New Roman;serif" w:hAnsi="Times New Roman;serif"/>
          <w:b w:val="false"/>
          <w:color w:val="000000"/>
          <w:sz w:val="20"/>
        </w:rPr>
        <w:t xml:space="preserve">Disclosures About Market Risk” in our 2025 10-K as well as Notes 10 and 11 and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3</w:t>
      </w:r>
      <w:r>
        <w:rPr>
          <w:color w:val="000000"/>
        </w:rPr>
        <w:t xml:space="preserve"> “</w:t>
      </w:r>
      <w:r>
        <w:rPr>
          <w:rFonts w:ascii="Times New Roman;serif" w:hAnsi="Times New Roman;serif"/>
          <w:b w:val="false"/>
          <w:color w:val="000000"/>
          <w:sz w:val="20"/>
        </w:rPr>
        <w:t>Quantitative and Qualitative Disclosures About Market Risk” below in this Quarterly Report on Form 10-Q.</w:t>
      </w:r>
    </w:p>
    <w:p>
      <w:pPr>
        <w:pStyle w:val="TextBody"/>
        <w:bidi w:val="0"/>
        <w:spacing w:before="0" w:after="0"/>
        <w:ind w:left="0" w:right="0" w:firstLine="720"/>
        <w:jc w:val="left"/>
        <w:rPr/>
      </w:pPr>
      <w:r>
        <w:rPr/>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Off-Balance Sheet Arrangements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did not have any significant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 risk is the risk of loss arising from adverse changes in market rates and prices, such as interest rates, foreign exchange rates and commodity prices. The following describes our financial instruments which expose us to market risk.</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face value of long-term debt was $5.2 billion, including $3.1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$31 million. All of our interest rate sensitive financial instruments are held for purposes other than trading.</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long-term debt and interest rate swap contracts, see Notes 10 and 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as of June 30, 2026. </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discussion of our legal proceedings, see Note 15 in this Quarterly Report on Form 10-Q and Note 19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0" w:after="0"/>
        <w:ind w:left="0" w:right="0" w:firstLine="720"/>
        <w:jc w:val="left"/>
        <w:rPr/>
      </w:pPr>
      <w:r>
        <w:rPr>
          <w:rFonts w:ascii="Times New Roman;serif" w:hAnsi="Times New Roman;serif"/>
          <w:b w:val="false"/>
          <w:color w:val="000000"/>
          <w:sz w:val="20"/>
        </w:rPr>
        <w:t xml:space="preserve">There have been no material changes in our risk factors from those disclosed under </w:t>
      </w:r>
      <w:r>
        <w:rPr>
          <w:rFonts w:ascii="Times New Roman;serif" w:hAnsi="Times New Roman;serif"/>
          <w:b w:val="false"/>
          <w:i/>
          <w:color w:val="000000"/>
          <w:sz w:val="20"/>
        </w:rPr>
        <w:t>Part I</w:t>
      </w:r>
      <w:r>
        <w:rPr>
          <w:rFonts w:ascii="Times New Roman;serif" w:hAnsi="Times New Roman;serif"/>
          <w:b w:val="false"/>
          <w:color w:val="000000"/>
          <w:sz w:val="20"/>
        </w:rPr>
        <w:t xml:space="preserve">, </w:t>
      </w:r>
      <w:r>
        <w:rPr>
          <w:rFonts w:ascii="Times New Roman;serif" w:hAnsi="Times New Roman;serif"/>
          <w:b w:val="false"/>
          <w:i/>
          <w:color w:val="000000"/>
          <w:sz w:val="20"/>
        </w:rPr>
        <w:t>Item 1A</w:t>
      </w:r>
      <w:r>
        <w:rPr>
          <w:color w:val="000000"/>
        </w:rPr>
        <w:t xml:space="preserve"> “</w:t>
      </w:r>
      <w:r>
        <w:rPr>
          <w:rFonts w:ascii="Times New Roman;serif" w:hAnsi="Times New Roman;serif"/>
          <w:b w:val="false"/>
          <w:color w:val="000000"/>
          <w:sz w:val="20"/>
        </w:rPr>
        <w:t>Risk Factors” included in our 2025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repurchased 1.6 million CDIs under our share repurchase program during the three months ended June 30, 2026.</w:t>
      </w:r>
    </w:p>
    <w:tbl>
      <w:tblPr>
        <w:tblW w:w="10205" w:type="dxa"/>
        <w:jc w:val="center"/>
        <w:tblInd w:w="0" w:type="dxa"/>
        <w:tblLayout w:type="fixed"/>
        <w:tblCellMar>
          <w:top w:w="28" w:type="dxa"/>
          <w:left w:w="28" w:type="dxa"/>
          <w:bottom w:w="28" w:type="dxa"/>
          <w:right w:w="28" w:type="dxa"/>
        </w:tblCellMar>
      </w:tblPr>
      <w:tblGrid>
        <w:gridCol w:w="385"/>
        <w:gridCol w:w="338"/>
        <w:gridCol w:w="339"/>
        <w:gridCol w:w="120"/>
        <w:gridCol w:w="120"/>
        <w:gridCol w:w="120"/>
        <w:gridCol w:w="467"/>
        <w:gridCol w:w="467"/>
        <w:gridCol w:w="468"/>
        <w:gridCol w:w="120"/>
        <w:gridCol w:w="120"/>
        <w:gridCol w:w="120"/>
        <w:gridCol w:w="339"/>
        <w:gridCol w:w="992"/>
        <w:gridCol w:w="175"/>
        <w:gridCol w:w="120"/>
        <w:gridCol w:w="120"/>
        <w:gridCol w:w="120"/>
        <w:gridCol w:w="391"/>
        <w:gridCol w:w="865"/>
        <w:gridCol w:w="203"/>
        <w:gridCol w:w="120"/>
        <w:gridCol w:w="120"/>
        <w:gridCol w:w="120"/>
        <w:gridCol w:w="842"/>
        <w:gridCol w:w="1862"/>
        <w:gridCol w:w="632"/>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for price per share)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 PURCHASES OF EQUITY SECURITIES</w:t>
            </w:r>
          </w:p>
        </w:tc>
      </w:tr>
      <w:tr>
        <w:trPr/>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Number of Shares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Purchased as Part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Publicly Announced</w:t>
            </w:r>
          </w:p>
          <w:p>
            <w:pPr>
              <w:pStyle w:val="TableContents"/>
              <w:bidi w:val="0"/>
              <w:spacing w:lineRule="auto" w:line="240" w:before="0" w:after="0"/>
              <w:jc w:val="center"/>
              <w:rPr/>
            </w:pPr>
            <w:r>
              <w:rPr>
                <w:rFonts w:ascii="Times New Roman;serif" w:hAnsi="Times New Roman;serif"/>
                <w:b/>
                <w:color w:val="000000"/>
                <w:sz w:val="18"/>
              </w:rPr>
              <w:t>Programs</w:t>
            </w:r>
            <w:r>
              <w:rPr>
                <w:rFonts w:ascii="Times New Roman;serif" w:hAnsi="Times New Roman;serif"/>
                <w:b/>
                <w:color w:val="000000"/>
                <w:sz w:val="12"/>
              </w:rPr>
              <w:t>(1)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Cost of Repurchase </w:t>
            </w:r>
          </w:p>
          <w:p>
            <w:pPr>
              <w:pStyle w:val="TableContents"/>
              <w:bidi w:val="0"/>
              <w:spacing w:lineRule="auto" w:line="240" w:before="0" w:after="0"/>
              <w:jc w:val="center"/>
              <w:rPr/>
            </w:pPr>
            <w:r>
              <w:rPr>
                <w:rFonts w:ascii="Times New Roman;serif" w:hAnsi="Times New Roman;serif"/>
                <w:b/>
                <w:color w:val="000000"/>
                <w:sz w:val="18"/>
              </w:rPr>
              <w:t>(in millions)</w:t>
            </w:r>
            <w:r>
              <w:rPr>
                <w:rFonts w:ascii="Times New Roman;serif" w:hAnsi="Times New Roman;serif"/>
                <w:b/>
                <w:color w:val="000000"/>
                <w:sz w:val="12"/>
              </w:rPr>
              <w:t>(2)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Programs (in millions)</w:t>
            </w:r>
            <w:r>
              <w:rPr>
                <w:rFonts w:ascii="Times New Roman;serif" w:hAnsi="Times New Roman;serif"/>
                <w:b/>
                <w:color w:val="000000"/>
                <w:sz w:val="12"/>
              </w:rPr>
              <w:t>(2)</w:t>
            </w:r>
          </w:p>
        </w:tc>
      </w:tr>
      <w:tr>
        <w:trPr/>
        <w:tc>
          <w:tcPr>
            <w:tcW w:w="1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4/1/2026 - 4/30/2026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5/1/2026 - 5/31/2026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6/1/2026 - 6/30/2026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vAlign w:val="center"/>
          </w:tcPr>
          <w:p>
            <w:pPr>
              <w:pStyle w:val="TableContents"/>
              <w:bidi w:val="0"/>
              <w:spacing w:before="0" w:after="283"/>
              <w:jc w:val="left"/>
              <w:rPr>
                <w:sz w:val="4"/>
                <w:szCs w:val="4"/>
              </w:rPr>
            </w:pPr>
            <w:r>
              <w:rPr>
                <w:sz w:val="4"/>
                <w:szCs w:val="4"/>
              </w:rPr>
            </w:r>
          </w:p>
        </w:tc>
        <w:tc>
          <w:tcPr>
            <w:tcW w:w="9143" w:type="dxa"/>
            <w:gridSpan w:val="24"/>
            <w:tcBorders/>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On June 11, 2024, the Board approved a new share repurchase program under which the Company was authorized to repurchase from time to time through June 12, 2027, up to an aggregate amount of $1.0 billion in shares of our common stock (including CDIs). On July 31, 2025, the Board approved an increase of such share repurchase program from $1.0 billion to $1.5 billion.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 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jc w:val="left"/>
        <w:rPr>
          <w:rFonts w:ascii="Times New Roman;serif" w:hAnsi="Times New Roman;serif"/>
          <w:b w:val="false"/>
          <w:i/>
          <w:color w:val="000000"/>
          <w:sz w:val="20"/>
        </w:rPr>
      </w:pPr>
      <w:r>
        <w:rPr>
          <w:rFonts w:ascii="Times New Roman;serif" w:hAnsi="Times New Roman;serif"/>
          <w:b w:val="false"/>
          <w:i/>
          <w:color w:val="000000"/>
          <w:sz w:val="20"/>
        </w:rPr>
        <w:t>Insider Trading Arrangements and Policies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June 30, 2026, no director or officer of the Company adopted or terminated a “Rule 10b5-1 trading arrangement” as such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86"/>
        <w:gridCol w:w="339"/>
        <w:gridCol w:w="340"/>
        <w:gridCol w:w="109"/>
        <w:gridCol w:w="109"/>
        <w:gridCol w:w="109"/>
        <w:gridCol w:w="2644"/>
        <w:gridCol w:w="2541"/>
        <w:gridCol w:w="3628"/>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 xml:space="preserve">Restated Articles of Incorporation of Light &amp; Wonder, Inc., filed with the Secretary of State of the State of Nevada on August 5, 2022 (incorporated by reference to Exhibit 3.1(a) to Light &amp; Wonder, Inc.’s Quarterly Report on Form 10-Q </w:t>
              </w:r>
            </w:hyperlink>
            <w:hyperlink r:id="rId15">
              <w:r>
                <w:rPr>
                  <w:rStyle w:val="InternetLink"/>
                  <w:rFonts w:ascii="Times New Roman;serif" w:hAnsi="Times New Roman;serif"/>
                  <w:b w:val="false"/>
                  <w:color w:val="000080"/>
                  <w:sz w:val="20"/>
                  <w:u w:val="single"/>
                </w:rPr>
                <w:t>filed August 9, 2022</w:t>
              </w:r>
            </w:hyperlink>
            <w:hyperlink r:id="rId16">
              <w:r>
                <w:rPr>
                  <w:rStyle w:val="InternetLink"/>
                  <w:rFonts w:ascii="Times New Roman;serif" w:hAnsi="Times New Roman;serif"/>
                  <w:b w:val="false"/>
                  <w:color w:val="000080"/>
                  <w:sz w:val="20"/>
                  <w:u w:val="single"/>
                </w:rPr>
                <w:t>).</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Fourth Amended and Restated Bylaws of Light &amp; Wonder, Inc., effective as of November 13, 2025 (incorporated by reference to Exhibit 3.1 to Light &amp; Wonder, Inc.’s Current Report on Form 8-K filed November 14, 2025).</w:t>
              </w:r>
            </w:hyperlink>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Amendment to Employment Agreement, dated as of May 5, 2026, by and between Light &amp; Wonder, Inc. and Matthew Wilson (incorporated by reference to Exhibit 10.2 to Light &amp; Wonder, Inc.’s Quarterly Report on Form 10-Q filed May 6, 2026).*</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Amendment to Employment Agreement, dated as of May 5, 2026, by and between Light &amp; Wonder, Inc. and Oliver Chow (incorporated by reference to Exhibit 10.3 to Light &amp; Wonder, Inc.’s Quarterly Report on Form 10-Q filed May 6, 2026).*</w:t>
              </w:r>
            </w:hyperlink>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3-amendmenttoamendedan.htm">
              <w:r>
                <w:rPr>
                  <w:rStyle w:val="InternetLink"/>
                  <w:rFonts w:ascii="Times New Roman;serif" w:hAnsi="Times New Roman;serif"/>
                  <w:b w:val="false"/>
                  <w:color w:val="0000FF"/>
                  <w:sz w:val="20"/>
                  <w:u w:val="single"/>
                </w:rPr>
                <w:t>Amendment to Employment Agreement, dated as of May 11, 2026, by and between LNW Gaming, Inc. and Siobhan Lane.*(†)</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51-q226letterfromindepe.htm">
              <w:r>
                <w:rPr>
                  <w:rStyle w:val="InternetLink"/>
                  <w:rFonts w:ascii="Times New Roman;serif" w:hAnsi="Times New Roman;serif"/>
                  <w:b w:val="false"/>
                  <w:color w:val="0000FF"/>
                  <w:sz w:val="20"/>
                  <w:u w:val="single"/>
                </w:rPr>
                <w:t>Letter from Deloitte &amp; Touche LLP, Independent Registered Public Accounting Firm, Regarding Unaudited Interim Financial Information.(†)</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q226certificationofc.htm">
              <w:r>
                <w:rPr>
                  <w:rStyle w:val="InternetLink"/>
                  <w:rFonts w:ascii="Times New Roman;serif" w:hAnsi="Times New Roman;serif"/>
                  <w:b w:val="false"/>
                  <w:color w:val="0000FF"/>
                  <w:sz w:val="20"/>
                  <w:u w:val="single"/>
                </w:rPr>
                <w:t>Certification of the Chief Executive Officer of Light &amp; Wonder, Inc. pursuant to Rule 13a-14(a), as adopted pursuant to Section 302 of the Sarbanes-Oxley Act of 2002.(†)</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q226certificationofc.htm">
              <w:r>
                <w:rPr>
                  <w:rStyle w:val="InternetLink"/>
                  <w:rFonts w:ascii="Times New Roman;serif" w:hAnsi="Times New Roman;serif"/>
                  <w:b w:val="false"/>
                  <w:color w:val="0000FF"/>
                  <w:sz w:val="20"/>
                  <w:u w:val="single"/>
                </w:rPr>
                <w:t>Certification of the Chief Financial Officer of Light &amp; Wonder, Inc. pursuant to Rule 13a-14(a), as adopted pursuant to Section 302 of the Sarbanes-Oxley Act of 2002.(†)</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q226certificationofc.htm">
              <w:r>
                <w:rPr>
                  <w:rStyle w:val="InternetLink"/>
                  <w:rFonts w:ascii="Times New Roman;serif" w:hAnsi="Times New Roman;serif"/>
                  <w:b w:val="false"/>
                  <w:color w:val="0000FF"/>
                  <w:sz w:val="20"/>
                  <w:u w:val="single"/>
                </w:rPr>
                <w:t>Certification of the Chief Executive Officer of Light &amp; Wonder, Inc. pursuant to 18 U.S.C. Section 1350, as adopted pursuant to Section 906 of the Sarbanes-Oxley Act of 2002.**</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q226certificationofc.htm">
              <w:r>
                <w:rPr>
                  <w:rStyle w:val="InternetLink"/>
                  <w:rFonts w:ascii="Times New Roman;serif" w:hAnsi="Times New Roman;serif"/>
                  <w:b w:val="false"/>
                  <w:color w:val="0000FF"/>
                  <w:sz w:val="20"/>
                  <w:u w:val="single"/>
                </w:rPr>
                <w:t>Certification of the Chief Financial Officer of Light &amp; Wonder, Inc. pursuant to 18 U.S.C. Section 1350, as adopted pursuant to Section 906 of the Sarbanes-Oxley Act of 2002.**</w:t>
              </w:r>
            </w:hyperlink>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3" w:type="dxa"/>
            <w:gridSpan w:val="3"/>
            <w:tcBorders/>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Label Linkbase Document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Management contracts and compensation plans and arrangements in which directors and/or executive officers are eligible to participate.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48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9"/>
        <w:gridCol w:w="239"/>
        <w:gridCol w:w="239"/>
        <w:gridCol w:w="239"/>
        <w:gridCol w:w="239"/>
        <w:gridCol w:w="239"/>
        <w:gridCol w:w="1546"/>
        <w:gridCol w:w="1546"/>
        <w:gridCol w:w="22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17" w:type="dxa"/>
            <w:gridSpan w:val="3"/>
            <w:vMerge w:val="continue"/>
            <w:tcBorders/>
            <w:tcMar>
              <w:top w:w="0" w:type="dxa"/>
              <w:left w:w="0" w:type="dxa"/>
              <w:bottom w:w="0" w:type="dxa"/>
              <w:right w:w="0" w:type="dxa"/>
            </w:tcMar>
            <w:vAlign w:val="center"/>
          </w:tcPr>
          <w:p>
            <w:pPr>
              <w:pStyle w:val="Normal"/>
              <w:bidi w:val="0"/>
              <w:jc w:val="left"/>
              <w:rPr/>
            </w:pPr>
            <w:r>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538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714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Amendment to Employment Agreement</w:t>
      </w:r>
    </w:p>
    <w:p>
      <w:pPr>
        <w:pStyle w:val="TextBody"/>
        <w:bidi w:val="0"/>
        <w:spacing w:lineRule="auto" w:line="268" w:before="0" w:after="0"/>
        <w:ind w:left="0" w:right="0" w:firstLine="720"/>
        <w:jc w:val="both"/>
        <w:rPr/>
      </w:pPr>
      <w:r>
        <w:rPr>
          <w:rFonts w:ascii="Times New Roman;serif" w:hAnsi="Times New Roman;serif"/>
          <w:b w:val="false"/>
          <w:color w:val="000000"/>
          <w:sz w:val="22"/>
        </w:rPr>
        <w:t>This Amendment to Employment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is made effective as of May 11, 2026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 by and between Light &amp; Wonder, Inc., a Nevada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Siobhan Lane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WHEREAS, the Company and Executive entered into an Amended and Restated Employment Agreement dated as of October 10, 2022 (as amended,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premises and the mutual benefits to be derived herefrom and other good and valuable consideration, the receipt and sufficiency of which are hereby acknowledged, the parties agree as follows: </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Term Extension</w:t>
      </w:r>
      <w:r>
        <w:rPr>
          <w:rFonts w:ascii="Times New Roman;serif" w:hAnsi="Times New Roman;serif"/>
          <w:b w:val="false"/>
          <w:color w:val="000000"/>
          <w:sz w:val="22"/>
        </w:rPr>
        <w:t>. The parties agree that the Term of the Agreement is extended to July 1, 2029. For the avoidance of doubt, the Term shall continue to be subject to automatic renewals per the provisions of Section 1.</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Increase in Base Salary</w:t>
      </w:r>
      <w:r>
        <w:rPr>
          <w:rFonts w:ascii="Times New Roman;serif" w:hAnsi="Times New Roman;serif"/>
          <w:b w:val="false"/>
          <w:color w:val="000000"/>
          <w:sz w:val="22"/>
        </w:rPr>
        <w:t xml:space="preserve">. The Agreement is amended by adding the following sentence to the end of Section 3(a): “Effective as of April 1, 2026, Executive’s base salary increased to $807,648.75 per annum.”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Increase in Incentive Compensation</w:t>
      </w:r>
      <w:r>
        <w:rPr>
          <w:rFonts w:ascii="Times New Roman;serif" w:hAnsi="Times New Roman;serif"/>
          <w:b w:val="false"/>
          <w:color w:val="000000"/>
          <w:sz w:val="22"/>
        </w:rPr>
        <w:t>. The Agreement is amended by adding the following sentence to the end of Section 3(b): “Effective as of April 1, 2024, Executive’s Incentive Compensation Target Bonus percentage increased to 100%.”</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Notice to be Given by Executive</w:t>
      </w:r>
      <w:r>
        <w:rPr>
          <w:rFonts w:ascii="Times New Roman;serif" w:hAnsi="Times New Roman;serif"/>
          <w:b w:val="false"/>
          <w:color w:val="000000"/>
          <w:sz w:val="22"/>
        </w:rPr>
        <w:t>. The first sentence of Section 4(a), “Termination by Executive for Other than Good Reason,” is amended to replace 60 days with 90 days.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Amendment to Sections 4(e)(iv) and 4(f)(iv)</w:t>
      </w:r>
      <w:r>
        <w:rPr>
          <w:rFonts w:ascii="Times New Roman;serif" w:hAnsi="Times New Roman;serif"/>
          <w:b w:val="false"/>
          <w:color w:val="000000"/>
          <w:sz w:val="22"/>
        </w:rPr>
        <w:t>. Sections 4(e)(iv) and 4(f)(iv) are deleted and replaced with the following:</w:t>
      </w:r>
    </w:p>
    <w:p>
      <w:pPr>
        <w:pStyle w:val="TextBody"/>
        <w:bidi w:val="0"/>
        <w:spacing w:before="0" w:after="0"/>
        <w:ind w:left="0" w:right="0" w:firstLine="720"/>
        <w:jc w:val="both"/>
        <w:rPr/>
      </w:pPr>
      <w:r>
        <w:rPr/>
      </w:r>
    </w:p>
    <w:p>
      <w:pPr>
        <w:pStyle w:val="TextBody"/>
        <w:bidi w:val="0"/>
        <w:spacing w:lineRule="auto" w:line="26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if Executive timely elects to continue medical coverage under the Company’s group health plan in accordance with COBRA, the full monthly premiums for such coverage on a monthly basis until the earlier of: (A) a period of eighteen (18) months has elapsed; or (B) Executive is eligible for medical coverage under a plan provided by a new employer. In addition, if the eighteen (18) month period set forth in the foregoing sub-section (A) expires before Executive is eligible for medical coverage under a plan provided by a new employer, then the Company shall pay the full monthly premiums for Executive’s medical coverage under a health plan obtained by Executive that is comparable to the Company’s group health plan, until the earlier of a period of six (6) additional months has elapsed (for the avoidance of doubt, until the end of the 24-month period following the date of such termination) or Executive is eligible for medical coverage under a plan provided by a new employer.</w:t>
      </w:r>
    </w:p>
    <w:p>
      <w:pPr>
        <w:pStyle w:val="TextBody"/>
        <w:bidi w:val="0"/>
        <w:spacing w:before="0" w:after="0"/>
        <w:ind w:left="0" w:right="0" w:firstLine="1440"/>
        <w:jc w:val="center"/>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6.Except as set forth in this Amendment, all terms and conditions of the Agreement shall remain unchanged and in full force and effect in accordance with their terms. All references to the “Agreement” in the Agreement shall refer to the Agreement as amended by this Amendment. Any defined terms used in this Amendment and not defined herein shall have the meaning as set forth in the Agreement.</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7.This Amendment may be executed in counterparts, each of which shall for all purposes be deemed to be an original and all of which shall constitute the same instrument. Delivery of an executed counterpart of a signature page of this Amendment by electronic transmission shall be effective as delivery of a manually executed counterpart of this Amendment.</w:t>
      </w:r>
    </w:p>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7665"/>
                <wp:effectExtent l="0" t="0" r="0" b="0"/>
                <wp:wrapNone/>
                <wp:docPr id="58" name="Frame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each of the parties hereto has duly executed this Amendment as of May 11, 2026.</w:t>
      </w:r>
    </w:p>
    <w:p>
      <w:pPr>
        <w:pStyle w:val="TextBody"/>
        <w:bidi w:val="0"/>
        <w:spacing w:before="0" w:after="0"/>
        <w:jc w:val="left"/>
        <w:rPr/>
      </w:pPr>
      <w:r>
        <w:rPr/>
      </w:r>
    </w:p>
    <w:tbl>
      <w:tblPr>
        <w:tblW w:w="64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2"/>
        <w:gridCol w:w="302"/>
        <w:gridCol w:w="302"/>
        <w:gridCol w:w="302"/>
        <w:gridCol w:w="302"/>
        <w:gridCol w:w="302"/>
        <w:gridCol w:w="1156"/>
        <w:gridCol w:w="1156"/>
        <w:gridCol w:w="16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LIGHT &amp; WONDER,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Roxane Lukas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90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Roxane Lukas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974" w:type="dxa"/>
            <w:gridSpan w:val="3"/>
            <w:tcBorders/>
            <w:tcMar>
              <w:top w:w="0" w:type="dxa"/>
              <w:left w:w="0" w:type="dxa"/>
              <w:bottom w:w="0" w:type="dxa"/>
              <w:right w:w="0" w:type="dxa"/>
            </w:tcMar>
            <w:vAlign w:val="center"/>
          </w:tcPr>
          <w:p>
            <w:pPr>
              <w:pStyle w:val="TableContents"/>
              <w:bidi w:val="0"/>
              <w:spacing w:lineRule="auto" w:line="319" w:before="0" w:after="283"/>
              <w:jc w:val="both"/>
              <w:rPr>
                <w:rFonts w:ascii="Times New Roman;serif" w:hAnsi="Times New Roman;serif"/>
                <w:b w:val="false"/>
                <w:color w:val="000000"/>
                <w:sz w:val="22"/>
              </w:rPr>
            </w:pPr>
            <w:r>
              <w:rPr>
                <w:rFonts w:ascii="Times New Roman;serif" w:hAnsi="Times New Roman;serif"/>
                <w:b w:val="false"/>
                <w:color w:val="000000"/>
                <w:sz w:val="22"/>
              </w:rPr>
              <w:t>EVP and Chief People Capability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Siobhan Lane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Siobhan Lane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firstLine="720"/>
        <w:jc w:val="right"/>
        <w:rPr>
          <w:rFonts w:ascii="Times New Roman;serif" w:hAnsi="Times New Roman;serif"/>
          <w:b/>
          <w:color w:val="000000"/>
          <w:sz w:val="24"/>
        </w:rPr>
      </w:pPr>
      <w:r>
        <w:rPr>
          <w:rFonts w:ascii="Times New Roman;serif" w:hAnsi="Times New Roman;serif"/>
          <w:b/>
          <w:color w:val="000000"/>
          <w:sz w:val="24"/>
        </w:rPr>
        <w:t>Exhibit 15.1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7665"/>
                <wp:effectExtent l="0" t="0" r="0" b="0"/>
                <wp:wrapNone/>
                <wp:docPr id="59"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August 4,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 the Board of Directors and Stockholders of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Light &amp; Wonder, Inc.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We are aware that our report dated August 4, 2026, on our review of the interim financial information of Light &amp; Wonder, Inc. appearing in this Quarterly Report on Form 10-Q for the quarter ended June 30, 2026, is incorporated by reference in Registration Statement Nos. 333-05811, 333-44983, 333-110141, 333-134043, 333-157638, 333-161232, 333-191817, 333-197948, 333-200463, 333-213432, 333-213434, 333-232987, 333-263188, and 333-275135 on Form S-8 and Nos. 333-74590, 333-84742, 333-110477, 333-112452, 333-124107, 333-141720, 333-155346-0, and 333-165743 on Form S-3.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4"/>
        </w:rPr>
      </w:pPr>
      <w:r>
        <w:rPr>
          <w:rFonts w:ascii="Times New Roman;serif" w:hAnsi="Times New Roman;serif"/>
          <w:b w:val="false"/>
          <w:color w:val="000000"/>
          <w:sz w:val="24"/>
        </w:rPr>
        <w:t>/s/ Deloitte &amp; Touche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by Chief Executive Officer Pursuant to Section 302 of the Sarbanes-Oxley Act of 2002</w:t>
      </w:r>
    </w:p>
    <w:p>
      <w:pPr>
        <w:pStyle w:val="TextBody"/>
        <w:bidi w:val="0"/>
        <w:spacing w:before="0" w:after="0"/>
        <w:jc w:val="center"/>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Matthew R. Wilson, certify that: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Light &amp; Wonder, Inc.;</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084" w:type="dxa"/>
        <w:jc w:val="left"/>
        <w:tblInd w:w="0" w:type="dxa"/>
        <w:tblLayout w:type="fixed"/>
        <w:tblCellMar>
          <w:top w:w="28" w:type="dxa"/>
          <w:left w:w="28" w:type="dxa"/>
          <w:bottom w:w="28" w:type="dxa"/>
          <w:right w:w="28" w:type="dxa"/>
        </w:tblCellMar>
      </w:tblPr>
      <w:tblGrid>
        <w:gridCol w:w="666"/>
        <w:gridCol w:w="585"/>
        <w:gridCol w:w="833"/>
      </w:tblGrid>
      <w:tr>
        <w:trPr/>
        <w:tc>
          <w:tcPr>
            <w:tcW w:w="66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31.2</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ind w:left="0" w:right="0" w:firstLine="450"/>
        <w:jc w:val="center"/>
        <w:rPr>
          <w:rFonts w:ascii="Times New Roman;serif" w:hAnsi="Times New Roman;serif"/>
          <w:b/>
          <w:color w:val="000000"/>
          <w:sz w:val="20"/>
        </w:rPr>
      </w:pPr>
      <w:r>
        <w:rPr>
          <w:rFonts w:ascii="Times New Roman;serif" w:hAnsi="Times New Roman;serif"/>
          <w:b/>
          <w:color w:val="000000"/>
          <w:sz w:val="20"/>
        </w:rPr>
        <w:t>Certification by Chief Financial Officer Pursuant to Section 302 of the Sarbanes-Oxley Act of 2002</w:t>
      </w:r>
    </w:p>
    <w:p>
      <w:pPr>
        <w:pStyle w:val="TextBody"/>
        <w:bidi w:val="0"/>
        <w:spacing w:before="0" w:after="0"/>
        <w:ind w:left="0" w:right="0" w:firstLine="450"/>
        <w:jc w:val="left"/>
        <w:rPr/>
      </w:pPr>
      <w:r>
        <w:rPr/>
      </w:r>
    </w:p>
    <w:p>
      <w:pPr>
        <w:pStyle w:val="TextBody"/>
        <w:bidi w:val="0"/>
        <w:spacing w:lineRule="auto" w:line="288" w:before="0" w:after="3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 Oliver Chow, certify that: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Light &amp; Wonder, Inc.;</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60"/>
        <w:jc w:val="left"/>
        <w:rPr/>
      </w:pPr>
      <w:r>
        <w:rPr/>
      </w:r>
    </w:p>
    <w:tbl>
      <w:tblPr>
        <w:tblW w:w="2025" w:type="dxa"/>
        <w:jc w:val="left"/>
        <w:tblInd w:w="0" w:type="dxa"/>
        <w:tblLayout w:type="fixed"/>
        <w:tblCellMar>
          <w:top w:w="28" w:type="dxa"/>
          <w:left w:w="28" w:type="dxa"/>
          <w:bottom w:w="28" w:type="dxa"/>
          <w:right w:w="28" w:type="dxa"/>
        </w:tblCellMar>
      </w:tblPr>
      <w:tblGrid>
        <w:gridCol w:w="646"/>
        <w:gridCol w:w="567"/>
        <w:gridCol w:w="812"/>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/s/ Oliver Chow</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283"/>
              <w:jc w:val="left"/>
              <w:rPr>
                <w:color w:val="000000"/>
              </w:rPr>
            </w:pPr>
            <w:r>
              <w:rPr>
                <w:color w:val="000000"/>
              </w:rPr>
              <w:t> </w:t>
            </w:r>
            <w:r>
              <w:rPr>
                <w:rFonts w:ascii="Times New Roman;serif" w:hAnsi="Times New Roman;serif"/>
                <w:b w:val="false"/>
                <w:color w:val="000000"/>
                <w:sz w:val="20"/>
              </w:rPr>
              <w:t>Oliver Chow</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Light &amp; Wonder, Inc. (the “Company”) for the period ended June 30, 2026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pStyle w:val="TextBody"/>
        <w:bidi w:val="0"/>
        <w:spacing w:before="0" w:after="0"/>
        <w:ind w:left="0" w:right="0" w:firstLine="405"/>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40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411" w:type="dxa"/>
        <w:jc w:val="left"/>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Matthew R. Wilson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32.2</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Light &amp; Wonder, Inc. (the “Company”) for the period ended June 30, 2026 as filed with the Securities and Exchange Commission on the date hereof (the “Report”), I, Oliver Chow, Chief Financial Officer of the Company, certify, pursuant to 18 U.S.C. § 1350, as adopted pursuant to Section 906 of the Sarbanes-Oxley Act of 2002, that, to my knowledge:</w:t>
      </w:r>
    </w:p>
    <w:p>
      <w:pPr>
        <w:pStyle w:val="TextBody"/>
        <w:bidi w:val="0"/>
        <w:spacing w:before="0" w:after="0"/>
        <w:ind w:left="0" w:right="0" w:firstLine="720"/>
        <w:jc w:val="left"/>
        <w:rPr/>
      </w:pPr>
      <w:r>
        <w:rPr/>
      </w:r>
    </w:p>
    <w:p>
      <w:pPr>
        <w:pStyle w:val="TextBody"/>
        <w:bidi w:val="0"/>
        <w:spacing w:lineRule="auto" w:line="288" w:before="0" w:after="1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firstLine="405"/>
        <w:jc w:val="left"/>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6"/>
        <w:gridCol w:w="586"/>
        <w:gridCol w:w="8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Oliver Chow</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750004/000075000422000025/ex31arestatedarticlesofinc.htm" TargetMode="External"/><Relationship Id="rId15" Type="http://schemas.openxmlformats.org/officeDocument/2006/relationships/hyperlink" Target="https://www.sec.gov/Archives/edgar/data/750004/000075000422000025/ex31arestatedarticlesofinc.htm" TargetMode="External"/><Relationship Id="rId16" Type="http://schemas.openxmlformats.org/officeDocument/2006/relationships/hyperlink" Target="https://www.sec.gov/Archives/edgar/data/750004/000075000422000025/ex31arestatedarticlesofinc.htm" TargetMode="External"/><Relationship Id="rId17" Type="http://schemas.openxmlformats.org/officeDocument/2006/relationships/hyperlink" Target="https://www.sec.gov/Archives/edgar/data/750004/000095015725000949/ex3-1.htm" TargetMode="External"/><Relationship Id="rId18" Type="http://schemas.openxmlformats.org/officeDocument/2006/relationships/hyperlink" Target="https://www.sec.gov/Archives/edgar/data/750004/000075000426000022/ex102-amendmenttoemploymen.htm" TargetMode="External"/><Relationship Id="rId19" Type="http://schemas.openxmlformats.org/officeDocument/2006/relationships/hyperlink" Target="https://www.sec.gov/Archives/edgar/data/750004/000075000426000022/ex103-amendmenttoemploymen.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23356</Words>
  <Characters>125006</Characters>
  <CharactersWithSpaces>146221</CharactersWithSpaces>
  <Paragraphs>3291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