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721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7213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McLennan Hamish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0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60"/>
              <w:spacing w:after="0"/>
              <w:rPr>
                <w:sz w:val="20"/>
                <w:szCs w:val="20"/>
                <w:color w:val="auto"/>
              </w:rPr>
            </w:pPr>
            <w:r>
              <w:rPr>
                <w:rFonts w:ascii="Arial" w:cs="Arial" w:eastAsia="Arial" w:hAnsi="Arial"/>
                <w:sz w:val="12"/>
                <w:szCs w:val="12"/>
                <w:b w:val="1"/>
                <w:bCs w:val="1"/>
                <w:color w:val="auto"/>
                <w:w w:val="92"/>
              </w:rPr>
              <w:t>6. Ownership</w:t>
            </w:r>
          </w:p>
        </w:tc>
        <w:tc>
          <w:tcPr>
            <w:tcW w:w="1420" w:type="dxa"/>
            <w:vAlign w:val="bottom"/>
            <w:gridSpan w:val="4"/>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9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8"/>
              </w:rPr>
              <w:t>Form: Direct</w:t>
            </w:r>
          </w:p>
        </w:tc>
        <w:tc>
          <w:tcPr>
            <w:tcW w:w="1420" w:type="dxa"/>
            <w:vAlign w:val="bottom"/>
            <w:gridSpan w:val="4"/>
          </w:tcPr>
          <w:p>
            <w:pPr>
              <w:ind w:left="180"/>
              <w:spacing w:after="0" w:line="128"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2400" w:type="dxa"/>
            <w:vAlign w:val="bottom"/>
            <w:gridSpan w:val="5"/>
          </w:tcPr>
          <w:p>
            <w:pPr>
              <w:ind w:left="260"/>
              <w:spacing w:after="0" w:line="129"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7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06/10/2026</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2,391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28,837</w:t>
            </w:r>
          </w:p>
        </w:tc>
        <w:tc>
          <w:tcPr>
            <w:tcW w:w="9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6,380</w:t>
            </w:r>
          </w:p>
        </w:tc>
        <w:tc>
          <w:tcPr>
            <w:tcW w:w="98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Superannuation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Fund</w:t>
            </w:r>
            <w:r>
              <w:rPr>
                <w:rFonts w:ascii="Times New Roman" w:cs="Times New Roman" w:eastAsia="Times New Roman" w:hAnsi="Times New Roman"/>
                <w:sz w:val="21"/>
                <w:szCs w:val="21"/>
                <w:color w:val="008000"/>
                <w:w w:val="97"/>
                <w:vertAlign w:val="superscript"/>
              </w:rPr>
              <w:t>(2)</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9,750</w:t>
            </w:r>
          </w:p>
        </w:tc>
        <w:tc>
          <w:tcPr>
            <w:tcW w:w="98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Londolozi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4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Family 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gridSpan w:val="14"/>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2"/>
              </w:rPr>
              <w:t>or 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84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2,391</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5"/>
                <w:szCs w:val="5"/>
                <w:color w:val="auto"/>
              </w:rPr>
            </w:pPr>
          </w:p>
        </w:tc>
        <w:tc>
          <w:tcPr>
            <w:tcW w:w="4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gridSpan w:val="3"/>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2,391</w:t>
            </w: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right"/>
              <w:ind w:right="417"/>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0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84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2,498</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5"/>
                <w:szCs w:val="5"/>
                <w:color w:val="auto"/>
              </w:rPr>
            </w:pPr>
          </w:p>
        </w:tc>
        <w:tc>
          <w:tcPr>
            <w:tcW w:w="420" w:type="dxa"/>
            <w:vAlign w:val="bottom"/>
            <w:vMerge w:val="restart"/>
          </w:tcPr>
          <w:p>
            <w:pPr>
              <w:jc w:val="right"/>
              <w:ind w:right="10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5"/>
                <w:szCs w:val="5"/>
                <w:color w:val="auto"/>
              </w:rPr>
            </w:pPr>
          </w:p>
        </w:tc>
        <w:tc>
          <w:tcPr>
            <w:tcW w:w="4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2,498</w:t>
            </w: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right"/>
              <w:ind w:right="317"/>
              <w:spacing w:after="0" w:line="141" w:lineRule="exact"/>
              <w:rPr>
                <w:sz w:val="20"/>
                <w:szCs w:val="20"/>
                <w:color w:val="auto"/>
              </w:rPr>
            </w:pPr>
            <w:r>
              <w:rPr>
                <w:rFonts w:ascii="Times New Roman" w:cs="Times New Roman" w:eastAsia="Times New Roman" w:hAnsi="Times New Roman"/>
                <w:sz w:val="13"/>
                <w:szCs w:val="13"/>
                <w:color w:val="0000FF"/>
              </w:rPr>
              <w:t>2,498</w:t>
            </w:r>
          </w:p>
        </w:tc>
        <w:tc>
          <w:tcPr>
            <w:tcW w:w="70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Linyanti Holdings Pty Limited ATF McLennan Superannuation Fund, a retirement fund of which Mr. McLennan is the beneficiary.</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Londolozi Pty Limited ATF Londolozi Family Trust, of which Mr. McLennan serves as trustee.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Sweta Gabhawala, attorney-  </w:t>
      </w:r>
      <w:r>
        <w:rPr>
          <w:rFonts w:ascii="Times New Roman" w:cs="Times New Roman" w:eastAsia="Times New Roman" w:hAnsi="Times New Roman"/>
          <w:sz w:val="31"/>
          <w:szCs w:val="31"/>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Hamish McLennan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69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936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Hamish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Hamish McLennan</w:t>
      </w:r>
    </w:p>
    <w:sectPr>
      <w:pgSz w:w="11900" w:h="16838" w:orient="portrait"/>
      <w:cols w:equalWidth="0" w:num="1">
        <w:col w:w="10980"/>
      </w:cols>
      <w:pgMar w:left="46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30349"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2026-06-12T20:53:53Z</dcterms:created>
  <dcterms:modified xsi:type="dcterms:W3CDTF">2026-06-12T20:53:53Z</dcterms:modified>
</cp:coreProperties>
</file>