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14,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LIGHT &amp; WONDER,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001-11693</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81-0422894</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3900" w:space="720"/>
            <w:col w:w="3380" w:space="720"/>
            <w:col w:w="2520"/>
          </w:cols>
          <w:pgMar w:left="320" w:top="754" w:right="339" w:bottom="1440" w:gutter="0" w:footer="0" w:header="0"/>
          <w:type w:val="continuous"/>
        </w:sectPr>
      </w:pPr>
    </w:p>
    <w:p>
      <w:pPr>
        <w:spacing w:after="0" w:line="14"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6601 Bermuda Road, Las Vegas, NV 89119</w:t>
      </w:r>
    </w:p>
    <w:p>
      <w:pPr>
        <w:spacing w:after="0" w:line="3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(Address of registrant’s principal executive office)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(702) 897-7150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p>
      <w:pPr>
        <w:spacing w:after="0" w:line="200" w:lineRule="exact"/>
        <w:rPr>
          <w:sz w:val="24"/>
          <w:szCs w:val="24"/>
          <w:color w:val="auto"/>
        </w:rPr>
      </w:pPr>
    </w:p>
    <w:p>
      <w:pPr>
        <w:spacing w:after="0" w:line="24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tbl>
      <w:tblPr>
        <w:tblLayout w:type="fixed"/>
        <w:tblInd w:w="10" w:type="dxa"/>
        <w:tblCellMar>
          <w:top w:w="0" w:type="dxa"/>
          <w:left w:w="0" w:type="dxa"/>
          <w:bottom w:w="0" w:type="dxa"/>
          <w:right w:w="0" w:type="dxa"/>
        </w:tblCellMar>
      </w:tblPr>
      <w:tr>
        <w:trPr>
          <w:trHeight w:val="192"/>
        </w:trPr>
        <w:tc>
          <w:tcPr>
            <w:tcW w:w="37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820" w:type="dxa"/>
            <w:vAlign w:val="bottom"/>
            <w:tcBorders>
              <w:top w:val="single" w:sz="8" w:color="auto"/>
            </w:tcBorders>
          </w:tcPr>
          <w:p>
            <w:pPr>
              <w:spacing w:after="0"/>
              <w:rPr>
                <w:sz w:val="16"/>
                <w:szCs w:val="16"/>
                <w:color w:val="auto"/>
              </w:rPr>
            </w:pPr>
          </w:p>
        </w:tc>
        <w:tc>
          <w:tcPr>
            <w:tcW w:w="2980" w:type="dxa"/>
            <w:vAlign w:val="bottom"/>
            <w:tcBorders>
              <w:top w:val="single" w:sz="8" w:color="auto"/>
              <w:right w:val="single" w:sz="8" w:color="auto"/>
            </w:tcBorders>
            <w:vMerge w:val="restart"/>
          </w:tcPr>
          <w:p>
            <w:pPr>
              <w:jc w:val="center"/>
              <w:ind w:right="75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w:t>
            </w:r>
          </w:p>
        </w:tc>
        <w:tc>
          <w:tcPr>
            <w:tcW w:w="0" w:type="dxa"/>
            <w:vAlign w:val="bottom"/>
          </w:tcPr>
          <w:p>
            <w:pPr>
              <w:spacing w:after="0"/>
              <w:rPr>
                <w:sz w:val="1"/>
                <w:szCs w:val="1"/>
                <w:color w:val="auto"/>
              </w:rPr>
            </w:pPr>
          </w:p>
        </w:tc>
      </w:tr>
      <w:tr>
        <w:trPr>
          <w:trHeight w:val="126"/>
        </w:trPr>
        <w:tc>
          <w:tcPr>
            <w:tcW w:w="3740" w:type="dxa"/>
            <w:vAlign w:val="bottom"/>
            <w:tcBorders>
              <w:left w:val="single" w:sz="8" w:color="auto"/>
              <w:right w:val="single" w:sz="8" w:color="auto"/>
            </w:tcBorders>
            <w:vMerge w:val="continue"/>
          </w:tcPr>
          <w:p>
            <w:pPr>
              <w:spacing w:after="0"/>
              <w:rPr>
                <w:sz w:val="10"/>
                <w:szCs w:val="10"/>
                <w:color w:val="auto"/>
              </w:rPr>
            </w:pPr>
          </w:p>
        </w:tc>
        <w:tc>
          <w:tcPr>
            <w:tcW w:w="820" w:type="dxa"/>
            <w:vAlign w:val="bottom"/>
          </w:tcPr>
          <w:p>
            <w:pPr>
              <w:spacing w:after="0"/>
              <w:rPr>
                <w:sz w:val="10"/>
                <w:szCs w:val="10"/>
                <w:color w:val="auto"/>
              </w:rPr>
            </w:pPr>
          </w:p>
        </w:tc>
        <w:tc>
          <w:tcPr>
            <w:tcW w:w="2980" w:type="dxa"/>
            <w:vAlign w:val="bottom"/>
            <w:tcBorders>
              <w:right w:val="single" w:sz="8" w:color="auto"/>
            </w:tcBorders>
            <w:vMerge w:val="continue"/>
          </w:tcPr>
          <w:p>
            <w:pPr>
              <w:spacing w:after="0"/>
              <w:rPr>
                <w:sz w:val="10"/>
                <w:szCs w:val="10"/>
                <w:color w:val="auto"/>
              </w:rPr>
            </w:pPr>
          </w:p>
        </w:tc>
        <w:tc>
          <w:tcPr>
            <w:tcW w:w="3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c>
          <w:tcPr>
            <w:tcW w:w="0" w:type="dxa"/>
            <w:vAlign w:val="bottom"/>
          </w:tcPr>
          <w:p>
            <w:pPr>
              <w:spacing w:after="0"/>
              <w:rPr>
                <w:sz w:val="1"/>
                <w:szCs w:val="1"/>
                <w:color w:val="auto"/>
              </w:rPr>
            </w:pPr>
          </w:p>
        </w:tc>
      </w:tr>
      <w:tr>
        <w:trPr>
          <w:trHeight w:val="108"/>
        </w:trPr>
        <w:tc>
          <w:tcPr>
            <w:tcW w:w="3740" w:type="dxa"/>
            <w:vAlign w:val="bottom"/>
            <w:tcBorders>
              <w:left w:val="single" w:sz="8" w:color="auto"/>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98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820" w:type="dxa"/>
            <w:vAlign w:val="bottom"/>
            <w:tcBorders>
              <w:bottom w:val="single" w:sz="8" w:color="auto"/>
            </w:tcBorders>
          </w:tcPr>
          <w:p>
            <w:pPr>
              <w:spacing w:after="0"/>
              <w:rPr>
                <w:sz w:val="18"/>
                <w:szCs w:val="18"/>
                <w:color w:val="auto"/>
              </w:rPr>
            </w:pPr>
          </w:p>
        </w:tc>
        <w:tc>
          <w:tcPr>
            <w:tcW w:w="2980" w:type="dxa"/>
            <w:vAlign w:val="bottom"/>
            <w:tcBorders>
              <w:bottom w:val="single" w:sz="8" w:color="auto"/>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0" w:type="dxa"/>
            <w:vAlign w:val="bottom"/>
          </w:tcPr>
          <w:p>
            <w:pPr>
              <w:spacing w:after="0"/>
              <w:rPr>
                <w:sz w:val="1"/>
                <w:szCs w:val="1"/>
                <w:color w:val="auto"/>
              </w:rPr>
            </w:pPr>
          </w:p>
        </w:tc>
      </w:tr>
      <w:tr>
        <w:trPr>
          <w:trHeight w:val="42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tc>
        <w:tc>
          <w:tcPr>
            <w:tcW w:w="29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2327910</wp:posOffset>
            </wp:positionH>
            <wp:positionV relativeFrom="paragraph">
              <wp:posOffset>137160</wp:posOffset>
            </wp:positionV>
            <wp:extent cx="249428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188595"/>
                    </a:xfrm>
                    <a:prstGeom prst="rect">
                      <a:avLst/>
                    </a:prstGeom>
                    <a:noFill/>
                  </pic:spPr>
                </pic:pic>
              </a:graphicData>
            </a:graphic>
          </wp:anchor>
        </w:drawing>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jc w:val="right"/>
        <w:spacing w:after="0" w:line="207" w:lineRule="exact"/>
        <w:tabs>
          <w:tab w:leader="none" w:pos="19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Emerging growth company</w:t>
      </w:r>
    </w:p>
    <w:p>
      <w:pPr>
        <w:spacing w:after="0" w:line="266" w:lineRule="exact"/>
        <w:rPr>
          <w:sz w:val="24"/>
          <w:szCs w:val="24"/>
          <w:color w:val="auto"/>
        </w:rPr>
      </w:pPr>
    </w:p>
    <w:p>
      <w:pPr>
        <w:ind w:right="260" w:firstLine="8"/>
        <w:spacing w:after="0" w:line="282" w:lineRule="auto"/>
        <w:tabs>
          <w:tab w:leader="none" w:pos="25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June 14, 2026 (U.S. time) (June 15, 2026 Australia time), Light &amp; Wonder, Inc. (the “Company”, “we” or “our”) lodged an announcement with the Australian Securities Exchange (“Announcement”) for receipt of notice from two members of the Company’s Board of Directors, Jamie Odell (Chair) and Toni Korsanos (Vice Chair), that they intend to exercise a portion of their vested options. A copy of the Announcement is furnished as Exhibit 99.1 to this Current Report on Form 8-K.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as well as in Exhibit 99.1 is furnished and shall not be deemed to be “filed” for purposes of Section 18 of the Securities Exchange Act of 1934, as amended (the “Exchange Act”), or otherwise subject to the liabilities of that section, and such information shall not be deemed to be incorporated by reference into any of the Company’s filings under the Securities Act of 1933, as amended, or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Announcement contains forward-looking statements within the meaning of the U.S. Private Securities Litigation Reform Act of 1995. These statements are based on our expectations as of today and are not guarantees of future performance. All forward-looking statements are subject to risks and uncertainties that could cause actual results to differ materially. Refer to our filings with the U.S. Securities and Exchange Commission and lodgements with the Australian Securities Exchange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8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40"/>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Announcement dated June 15, 2026.</w:t>
      </w:r>
    </w:p>
    <w:p>
      <w:pPr>
        <w:spacing w:after="0" w:line="220" w:lineRule="exact"/>
        <w:rPr>
          <w:sz w:val="20"/>
          <w:szCs w:val="20"/>
          <w:color w:val="auto"/>
        </w:rPr>
      </w:pPr>
    </w:p>
    <w:p>
      <w:pPr>
        <w:ind w:left="280"/>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LIGHT &amp; WONDER,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15, 2026</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Dawson</w:t>
            </w:r>
          </w:p>
        </w:tc>
      </w:tr>
      <w:tr>
        <w:trPr>
          <w:trHeight w:val="191"/>
        </w:trPr>
        <w:tc>
          <w:tcPr>
            <w:tcW w:w="3580" w:type="dxa"/>
            <w:vAlign w:val="bottom"/>
          </w:tcPr>
          <w:p>
            <w:pPr>
              <w:spacing w:after="0"/>
              <w:rPr>
                <w:sz w:val="16"/>
                <w:szCs w:val="16"/>
                <w:color w:val="auto"/>
              </w:rPr>
            </w:pPr>
          </w:p>
        </w:tc>
        <w:tc>
          <w:tcPr>
            <w:tcW w:w="26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Susan Dawson</w:t>
            </w:r>
          </w:p>
        </w:tc>
      </w:tr>
      <w:tr>
        <w:trPr>
          <w:trHeight w:val="216"/>
        </w:trPr>
        <w:tc>
          <w:tcPr>
            <w:tcW w:w="3580" w:type="dxa"/>
            <w:vAlign w:val="bottom"/>
          </w:tcPr>
          <w:p>
            <w:pPr>
              <w:spacing w:after="0"/>
              <w:rPr>
                <w:sz w:val="18"/>
                <w:szCs w:val="18"/>
                <w:color w:val="auto"/>
              </w:rPr>
            </w:pP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Corporate</w:t>
            </w:r>
          </w:p>
        </w:tc>
      </w:tr>
      <w:tr>
        <w:trPr>
          <w:trHeight w:val="234"/>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675"/>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783080" cy="822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Notifications – Exercise of Vested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Sydney, 15 June 2026</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Light &amp; Wonder, Inc. (‘Light &amp; Wonder’ or ‘the Company’) advises that Jamie Odell (Chairman) and Toni Korsanos (Vice Chair) have each notified the Company that they intend to exercise a portion of their vested options on a cashless basis pursuant to Company's 2003 Incentive Compensation Plan (the ‘Equity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disclosed, these vested options have an expiry date of 28 March 2027 and therefore limited trading windows remain available pursuant to the Company’s Securities Trading Policy prior to expiry.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Cashless Exercise Mechanism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Equity Plan, holders of vested options may elect to exercise options on a cashless basis. This mechanism enables holders to exercise vested options and receive CDIs equal to the value of the positive difference between the exercise price and the CDI price at exercise.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cashless exercise of options mechanism results in less CDIs being required to satisfy exercise.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a portion of CDIs to Cover Tax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Jamie Odell and Toni Korsanos are required to recognise assessable income as a result of the exercise of the vested options. To fund the income tax liability, a portion of the net CDIs received by each of Jamie Odell and Toni Korsanos (not exceeding the value of the tax liability) will be sold in accordance with the terms of the Company's Securities Trading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Appendix 3Y – Change of Director's Interest Notices (one for each Director) will be lodged following completion of the exercise process.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Authorised for lodgement by the Company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Light &amp; Wonder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Light &amp; Wonder, Inc. is the leading cross-platform global games company. Through our three unique, yet highly complementary business segments, we deliver unforgettable experiences by combining the exceptional talents of our 6,500+ member team, with a deep understanding of our customers and players. We create immersive content that forges lasting connections with players, wherever they choose to engage. At Light &amp; Wonder, it’s all about the games. The Company is committed to the highest standards of integrity, from promoting player responsibility to implementing sustainable practices. To learn more visit </w:t>
      </w:r>
      <w:r>
        <w:rPr>
          <w:rFonts w:ascii="Times New Roman" w:cs="Times New Roman" w:eastAsia="Times New Roman" w:hAnsi="Times New Roman"/>
          <w:sz w:val="18"/>
          <w:szCs w:val="18"/>
          <w:u w:val="single" w:color="auto"/>
          <w:color w:val="auto"/>
        </w:rPr>
        <w:t>www.lnw.com</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351" w:right="33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Rohan Gallagher</w:t>
      </w:r>
    </w:p>
    <w:p>
      <w:pPr>
        <w:spacing w:after="0" w:line="9" w:lineRule="exact"/>
        <w:rPr>
          <w:sz w:val="20"/>
          <w:szCs w:val="20"/>
          <w:color w:val="auto"/>
        </w:rPr>
      </w:pPr>
    </w:p>
    <w:p>
      <w:pPr>
        <w:ind w:right="1680"/>
        <w:spacing w:after="0" w:line="260" w:lineRule="auto"/>
        <w:rPr>
          <w:sz w:val="20"/>
          <w:szCs w:val="20"/>
          <w:color w:val="auto"/>
        </w:rPr>
      </w:pPr>
      <w:r>
        <w:rPr>
          <w:rFonts w:ascii="Times New Roman" w:cs="Times New Roman" w:eastAsia="Times New Roman" w:hAnsi="Times New Roman"/>
          <w:sz w:val="18"/>
          <w:szCs w:val="18"/>
          <w:color w:val="auto"/>
        </w:rPr>
        <w:t xml:space="preserve">EVP, Global Chief Corporate Affairs Officer </w:t>
      </w:r>
      <w:r>
        <w:rPr>
          <w:rFonts w:ascii="Times New Roman" w:cs="Times New Roman" w:eastAsia="Times New Roman" w:hAnsi="Times New Roman"/>
          <w:sz w:val="18"/>
          <w:szCs w:val="18"/>
          <w:u w:val="single" w:color="auto"/>
          <w:color w:val="auto"/>
        </w:rPr>
        <w:t>ir@lnw.com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Fouché</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VP, Corporate Affairs and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media@lnw.com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2">
        <w:col w:w="4900" w:space="720"/>
        <w:col w:w="5620"/>
      </w:cols>
      <w:pgMar w:left="320" w:top="35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2026-06-15T06:56:55Z</dcterms:created>
  <dcterms:modified xsi:type="dcterms:W3CDTF">2026-06-15T06:56:55Z</dcterms:modified>
</cp:coreProperties>
</file>