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614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61467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Odell Jamie</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tcPr>
          <w:p>
            <w:pPr>
              <w:ind w:left="40"/>
              <w:spacing w:after="0"/>
              <w:rPr>
                <w:sz w:val="20"/>
                <w:szCs w:val="20"/>
                <w:color w:val="auto"/>
              </w:rPr>
            </w:pPr>
            <w:r>
              <w:rPr>
                <w:rFonts w:ascii="Arial" w:cs="Arial" w:eastAsia="Arial" w:hAnsi="Arial"/>
                <w:sz w:val="13"/>
                <w:szCs w:val="13"/>
                <w:color w:val="auto"/>
              </w:rPr>
              <w:t>(Last)</w:t>
            </w:r>
          </w:p>
        </w:tc>
        <w:tc>
          <w:tcPr>
            <w:tcW w:w="1240" w:type="dxa"/>
            <w:vAlign w:val="bottom"/>
          </w:tcPr>
          <w:p>
            <w:pPr>
              <w:ind w:left="160"/>
              <w:spacing w:after="0"/>
              <w:rPr>
                <w:sz w:val="20"/>
                <w:szCs w:val="20"/>
                <w:color w:val="auto"/>
              </w:rPr>
            </w:pPr>
            <w:r>
              <w:rPr>
                <w:rFonts w:ascii="Arial" w:cs="Arial" w:eastAsia="Arial" w:hAnsi="Arial"/>
                <w:sz w:val="13"/>
                <w:szCs w:val="13"/>
                <w:color w:val="auto"/>
              </w:rPr>
              <w:t>(First)</w:t>
            </w:r>
          </w:p>
        </w:tc>
        <w:tc>
          <w:tcPr>
            <w:tcW w:w="600" w:type="dxa"/>
            <w:vAlign w:val="bottom"/>
          </w:tcPr>
          <w:p>
            <w:pPr>
              <w:ind w:left="140"/>
              <w:spacing w:after="0"/>
              <w:rPr>
                <w:sz w:val="20"/>
                <w:szCs w:val="20"/>
                <w:color w:val="auto"/>
              </w:rPr>
            </w:pPr>
            <w:r>
              <w:rPr>
                <w:rFonts w:ascii="Arial" w:cs="Arial" w:eastAsia="Arial" w:hAnsi="Arial"/>
                <w:sz w:val="13"/>
                <w:szCs w:val="13"/>
                <w:color w:val="auto"/>
                <w:w w:val="93"/>
              </w:rPr>
              <w:t>(Middle)</w:t>
            </w:r>
          </w:p>
        </w:tc>
      </w:tr>
      <w:tr>
        <w:trPr>
          <w:trHeight w:val="264"/>
        </w:trPr>
        <w:tc>
          <w:tcPr>
            <w:tcW w:w="23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LIGHT &amp; WONDER, INC.</w:t>
            </w:r>
          </w:p>
        </w:tc>
        <w:tc>
          <w:tcPr>
            <w:tcW w:w="600" w:type="dxa"/>
            <w:vAlign w:val="bottom"/>
          </w:tcPr>
          <w:p>
            <w:pPr>
              <w:spacing w:after="0"/>
              <w:rPr>
                <w:sz w:val="22"/>
                <w:szCs w:val="22"/>
                <w:color w:val="auto"/>
              </w:rPr>
            </w:pPr>
          </w:p>
        </w:tc>
      </w:tr>
      <w:tr>
        <w:trPr>
          <w:trHeight w:val="254"/>
        </w:trPr>
        <w:tc>
          <w:tcPr>
            <w:tcW w:w="23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6601 BERMUDA RD</w:t>
            </w:r>
          </w:p>
        </w:tc>
        <w:tc>
          <w:tcPr>
            <w:tcW w:w="600" w:type="dxa"/>
            <w:vAlign w:val="bottom"/>
          </w:tcPr>
          <w:p>
            <w:pPr>
              <w:spacing w:after="0"/>
              <w:rPr>
                <w:sz w:val="22"/>
                <w:szCs w:val="22"/>
                <w:color w:val="auto"/>
              </w:rPr>
            </w:pPr>
          </w:p>
        </w:tc>
      </w:tr>
      <w:tr>
        <w:trPr>
          <w:trHeight w:val="422"/>
        </w:trPr>
        <w:tc>
          <w:tcPr>
            <w:tcW w:w="1100" w:type="dxa"/>
            <w:vAlign w:val="bottom"/>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6"/>
        </w:trPr>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LAS VEGAS</w:t>
            </w:r>
          </w:p>
        </w:tc>
        <w:tc>
          <w:tcPr>
            <w:tcW w:w="12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NV</w:t>
            </w:r>
          </w:p>
        </w:tc>
        <w:tc>
          <w:tcPr>
            <w:tcW w:w="6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89119</w:t>
            </w:r>
          </w:p>
        </w:tc>
      </w:tr>
      <w:tr>
        <w:trPr>
          <w:trHeight w:val="461"/>
        </w:trPr>
        <w:tc>
          <w:tcPr>
            <w:tcW w:w="1100" w:type="dxa"/>
            <w:vAlign w:val="bottom"/>
          </w:tcPr>
          <w:p>
            <w:pPr>
              <w:ind w:left="40"/>
              <w:spacing w:after="0"/>
              <w:rPr>
                <w:sz w:val="20"/>
                <w:szCs w:val="20"/>
                <w:color w:val="auto"/>
              </w:rPr>
            </w:pPr>
            <w:r>
              <w:rPr>
                <w:rFonts w:ascii="Arial" w:cs="Arial" w:eastAsia="Arial" w:hAnsi="Arial"/>
                <w:sz w:val="13"/>
                <w:szCs w:val="13"/>
                <w:color w:val="auto"/>
              </w:rPr>
              <w:t>(City)</w:t>
            </w:r>
          </w:p>
        </w:tc>
        <w:tc>
          <w:tcPr>
            <w:tcW w:w="1240" w:type="dxa"/>
            <w:vAlign w:val="bottom"/>
          </w:tcPr>
          <w:p>
            <w:pPr>
              <w:ind w:left="160"/>
              <w:spacing w:after="0"/>
              <w:rPr>
                <w:sz w:val="20"/>
                <w:szCs w:val="20"/>
                <w:color w:val="auto"/>
              </w:rPr>
            </w:pPr>
            <w:r>
              <w:rPr>
                <w:rFonts w:ascii="Arial" w:cs="Arial" w:eastAsia="Arial" w:hAnsi="Arial"/>
                <w:sz w:val="13"/>
                <w:szCs w:val="13"/>
                <w:color w:val="auto"/>
              </w:rPr>
              <w:t>(State)</w:t>
            </w:r>
          </w:p>
        </w:tc>
        <w:tc>
          <w:tcPr>
            <w:tcW w:w="60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Light &amp; Wonder,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ASX:LNW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8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06/15/2026</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620" w:type="dxa"/>
            <w:vAlign w:val="bottom"/>
            <w:tcBorders>
              <w:bottom w:val="single" w:sz="8" w:color="2C2C2C"/>
            </w:tcBorders>
          </w:tcPr>
          <w:p>
            <w:pPr>
              <w:spacing w:after="0"/>
              <w:rPr>
                <w:sz w:val="23"/>
                <w:szCs w:val="23"/>
                <w:color w:val="auto"/>
              </w:rPr>
            </w:pPr>
          </w:p>
        </w:tc>
        <w:tc>
          <w:tcPr>
            <w:tcW w:w="202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3"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4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jc w:val="right"/>
              <w:ind w:right="60"/>
              <w:spacing w:after="0"/>
              <w:rPr>
                <w:sz w:val="20"/>
                <w:szCs w:val="20"/>
                <w:color w:val="auto"/>
              </w:rPr>
            </w:pPr>
            <w:r>
              <w:rPr>
                <w:rFonts w:ascii="Arial" w:cs="Arial" w:eastAsia="Arial" w:hAnsi="Arial"/>
                <w:sz w:val="11"/>
                <w:szCs w:val="11"/>
                <w:b w:val="1"/>
                <w:bCs w:val="1"/>
                <w:color w:val="auto"/>
              </w:rPr>
              <w:t>3.</w:t>
            </w:r>
          </w:p>
        </w:tc>
        <w:tc>
          <w:tcPr>
            <w:tcW w:w="480" w:type="dxa"/>
            <w:vAlign w:val="bottom"/>
          </w:tcPr>
          <w:p>
            <w:pPr>
              <w:spacing w:after="0"/>
              <w:rPr>
                <w:sz w:val="13"/>
                <w:szCs w:val="13"/>
                <w:color w:val="auto"/>
              </w:rPr>
            </w:pPr>
          </w:p>
        </w:tc>
        <w:tc>
          <w:tcPr>
            <w:tcW w:w="16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980" w:type="dxa"/>
            <w:vAlign w:val="bottom"/>
          </w:tcPr>
          <w:p>
            <w:pPr>
              <w:ind w:left="260"/>
              <w:spacing w:after="0"/>
              <w:rPr>
                <w:sz w:val="20"/>
                <w:szCs w:val="20"/>
                <w:color w:val="auto"/>
              </w:rPr>
            </w:pPr>
            <w:r>
              <w:rPr>
                <w:rFonts w:ascii="Arial" w:cs="Arial" w:eastAsia="Arial" w:hAnsi="Arial"/>
                <w:sz w:val="11"/>
                <w:szCs w:val="11"/>
                <w:b w:val="1"/>
                <w:bCs w:val="1"/>
                <w:color w:val="auto"/>
              </w:rPr>
              <w:t>6. Ownership</w:t>
            </w:r>
          </w:p>
        </w:tc>
        <w:tc>
          <w:tcPr>
            <w:tcW w:w="1400" w:type="dxa"/>
            <w:vAlign w:val="bottom"/>
            <w:gridSpan w:val="4"/>
          </w:tcPr>
          <w:p>
            <w:pPr>
              <w:ind w:left="1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420"/>
              <w:spacing w:after="0"/>
              <w:rPr>
                <w:sz w:val="20"/>
                <w:szCs w:val="20"/>
                <w:color w:val="auto"/>
              </w:rPr>
            </w:pPr>
            <w:r>
              <w:rPr>
                <w:rFonts w:ascii="Arial" w:cs="Arial" w:eastAsia="Arial" w:hAnsi="Arial"/>
                <w:sz w:val="11"/>
                <w:szCs w:val="11"/>
                <w:b w:val="1"/>
                <w:bCs w:val="1"/>
                <w:color w:val="auto"/>
              </w:rPr>
              <w:t>Date</w:t>
            </w:r>
          </w:p>
        </w:tc>
        <w:tc>
          <w:tcPr>
            <w:tcW w:w="380" w:type="dxa"/>
            <w:vAlign w:val="bottom"/>
          </w:tcPr>
          <w:p>
            <w:pPr>
              <w:spacing w:after="0"/>
              <w:rPr>
                <w:sz w:val="10"/>
                <w:szCs w:val="10"/>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6"/>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980" w:type="dxa"/>
            <w:vAlign w:val="bottom"/>
          </w:tcPr>
          <w:p>
            <w:pPr>
              <w:ind w:left="260"/>
              <w:spacing w:after="0"/>
              <w:rPr>
                <w:sz w:val="20"/>
                <w:szCs w:val="20"/>
                <w:color w:val="auto"/>
              </w:rPr>
            </w:pPr>
            <w:r>
              <w:rPr>
                <w:rFonts w:ascii="Arial" w:cs="Arial" w:eastAsia="Arial" w:hAnsi="Arial"/>
                <w:sz w:val="11"/>
                <w:szCs w:val="11"/>
                <w:b w:val="1"/>
                <w:bCs w:val="1"/>
                <w:color w:val="auto"/>
              </w:rPr>
              <w:t>Form: Direct</w:t>
            </w:r>
          </w:p>
        </w:tc>
        <w:tc>
          <w:tcPr>
            <w:tcW w:w="1400" w:type="dxa"/>
            <w:vAlign w:val="bottom"/>
            <w:gridSpan w:val="4"/>
          </w:tcPr>
          <w:p>
            <w:pPr>
              <w:ind w:left="180"/>
              <w:spacing w:after="0"/>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60" w:type="dxa"/>
            <w:vAlign w:val="bottom"/>
            <w:gridSpan w:val="2"/>
          </w:tcPr>
          <w:p>
            <w:pPr>
              <w:ind w:left="42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2380" w:type="dxa"/>
            <w:vAlign w:val="bottom"/>
            <w:gridSpan w:val="5"/>
          </w:tcPr>
          <w:p>
            <w:pPr>
              <w:ind w:left="260"/>
              <w:spacing w:after="0"/>
              <w:rPr>
                <w:sz w:val="20"/>
                <w:szCs w:val="20"/>
                <w:color w:val="auto"/>
              </w:rPr>
            </w:pPr>
            <w:r>
              <w:rPr>
                <w:rFonts w:ascii="Arial" w:cs="Arial" w:eastAsia="Arial" w:hAnsi="Arial"/>
                <w:sz w:val="11"/>
                <w:szCs w:val="11"/>
                <w:b w:val="1"/>
                <w:bCs w:val="1"/>
                <w:color w:val="auto"/>
              </w:rPr>
              <w:t>(D) or Indirect   Ownership (Instr.</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tcPr>
          <w:p>
            <w:pPr>
              <w:jc w:val="right"/>
              <w:ind w:right="60"/>
              <w:spacing w:after="0"/>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40" w:type="dxa"/>
            <w:vAlign w:val="bottom"/>
            <w:gridSpan w:val="3"/>
          </w:tcPr>
          <w:p>
            <w:pPr>
              <w:spacing w:after="0"/>
              <w:rPr>
                <w:sz w:val="20"/>
                <w:szCs w:val="20"/>
                <w:color w:val="auto"/>
              </w:rPr>
            </w:pPr>
            <w:r>
              <w:rPr>
                <w:rFonts w:ascii="Arial" w:cs="Arial" w:eastAsia="Arial" w:hAnsi="Arial"/>
                <w:sz w:val="11"/>
                <w:szCs w:val="11"/>
                <w:b w:val="1"/>
                <w:bCs w:val="1"/>
                <w:color w:val="auto"/>
              </w:rPr>
              <w:t>Owned Following   (I) (Instr. 4)</w:t>
            </w:r>
          </w:p>
        </w:tc>
        <w:tc>
          <w:tcPr>
            <w:tcW w:w="680" w:type="dxa"/>
            <w:vAlign w:val="bottom"/>
          </w:tcPr>
          <w:p>
            <w:pPr>
              <w:ind w:left="180"/>
              <w:spacing w:after="0"/>
              <w:rPr>
                <w:sz w:val="20"/>
                <w:szCs w:val="20"/>
                <w:color w:val="auto"/>
              </w:rPr>
            </w:pPr>
            <w:r>
              <w:rPr>
                <w:rFonts w:ascii="Arial" w:cs="Arial" w:eastAsia="Arial" w:hAnsi="Arial"/>
                <w:sz w:val="11"/>
                <w:szCs w:val="11"/>
                <w:b w:val="1"/>
                <w:bCs w:val="1"/>
                <w:color w:val="auto"/>
              </w:rPr>
              <w:t>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Reported</w:t>
            </w:r>
          </w:p>
        </w:tc>
        <w:tc>
          <w:tcPr>
            <w:tcW w:w="9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40" w:type="dxa"/>
            <w:vAlign w:val="bottom"/>
            <w:gridSpan w:val="2"/>
          </w:tcPr>
          <w:p>
            <w:pPr>
              <w:ind w:left="20"/>
              <w:spacing w:after="0"/>
              <w:rPr>
                <w:sz w:val="20"/>
                <w:szCs w:val="20"/>
                <w:color w:val="auto"/>
              </w:rPr>
            </w:pPr>
            <w:r>
              <w:rPr>
                <w:rFonts w:ascii="Arial" w:cs="Arial" w:eastAsia="Arial" w:hAnsi="Arial"/>
                <w:sz w:val="11"/>
                <w:szCs w:val="11"/>
                <w:b w:val="1"/>
                <w:bCs w:val="1"/>
                <w:color w:val="auto"/>
              </w:rPr>
              <w:t>(A) or</w:t>
            </w:r>
          </w:p>
        </w:tc>
        <w:tc>
          <w:tcPr>
            <w:tcW w:w="320" w:type="dxa"/>
            <w:vAlign w:val="bottom"/>
            <w:vMerge w:val="restart"/>
          </w:tcPr>
          <w:p>
            <w:pPr>
              <w:ind w:left="40"/>
              <w:spacing w:after="0"/>
              <w:rPr>
                <w:sz w:val="20"/>
                <w:szCs w:val="20"/>
                <w:color w:val="auto"/>
              </w:rPr>
            </w:pPr>
            <w:r>
              <w:rPr>
                <w:rFonts w:ascii="Arial" w:cs="Arial" w:eastAsia="Arial" w:hAnsi="Arial"/>
                <w:sz w:val="11"/>
                <w:szCs w:val="11"/>
                <w:b w:val="1"/>
                <w:bCs w:val="1"/>
                <w:color w:val="auto"/>
                <w:w w:val="96"/>
              </w:rPr>
              <w:t>Price</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3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06/15/2026</w:t>
            </w: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3"/>
                <w:szCs w:val="13"/>
                <w:color w:val="0000FF"/>
                <w:w w:val="86"/>
              </w:rPr>
              <w:t>M</w:t>
            </w:r>
          </w:p>
        </w:tc>
        <w:tc>
          <w:tcPr>
            <w:tcW w:w="4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135,000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35.42</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155,941</w:t>
            </w:r>
          </w:p>
        </w:tc>
        <w:tc>
          <w:tcPr>
            <w:tcW w:w="980" w:type="dxa"/>
            <w:vAlign w:val="bottom"/>
            <w:tcBorders>
              <w:bottom w:val="single" w:sz="8" w:color="2C2C2C"/>
            </w:tcBorders>
          </w:tcPr>
          <w:p>
            <w:pPr>
              <w:jc w:val="center"/>
              <w:ind w:left="235"/>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06/15/2026</w:t>
            </w: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3"/>
                <w:szCs w:val="13"/>
                <w:color w:val="0000FF"/>
                <w:w w:val="82"/>
              </w:rPr>
              <w:t>F</w:t>
            </w:r>
          </w:p>
        </w:tc>
        <w:tc>
          <w:tcPr>
            <w:tcW w:w="4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53,748</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88.2</w:t>
            </w:r>
            <w:r>
              <w:rPr>
                <w:rFonts w:ascii="Times New Roman" w:cs="Times New Roman" w:eastAsia="Times New Roman" w:hAnsi="Times New Roman"/>
                <w:sz w:val="21"/>
                <w:szCs w:val="21"/>
                <w:color w:val="008000"/>
                <w:w w:val="89"/>
                <w:vertAlign w:val="superscript"/>
              </w:rPr>
              <w:t>(2)</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102,193</w:t>
            </w:r>
          </w:p>
        </w:tc>
        <w:tc>
          <w:tcPr>
            <w:tcW w:w="980" w:type="dxa"/>
            <w:vAlign w:val="bottom"/>
            <w:tcBorders>
              <w:bottom w:val="single" w:sz="8" w:color="2C2C2C"/>
            </w:tcBorders>
          </w:tcPr>
          <w:p>
            <w:pPr>
              <w:jc w:val="center"/>
              <w:ind w:left="235"/>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06/16/2026</w:t>
            </w: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center"/>
              <w:ind w:left="40"/>
              <w:spacing w:after="0"/>
              <w:rPr>
                <w:sz w:val="20"/>
                <w:szCs w:val="20"/>
                <w:color w:val="auto"/>
              </w:rPr>
            </w:pPr>
            <w:r>
              <w:rPr>
                <w:rFonts w:ascii="Times New Roman" w:cs="Times New Roman" w:eastAsia="Times New Roman" w:hAnsi="Times New Roman"/>
                <w:sz w:val="13"/>
                <w:szCs w:val="13"/>
                <w:color w:val="0000FF"/>
                <w:w w:val="82"/>
              </w:rPr>
              <w:t>S</w:t>
            </w:r>
          </w:p>
        </w:tc>
        <w:tc>
          <w:tcPr>
            <w:tcW w:w="4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30,000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90.08</w:t>
            </w:r>
            <w:r>
              <w:rPr>
                <w:rFonts w:ascii="Times New Roman" w:cs="Times New Roman" w:eastAsia="Times New Roman" w:hAnsi="Times New Roman"/>
                <w:sz w:val="21"/>
                <w:szCs w:val="21"/>
                <w:color w:val="008000"/>
                <w:w w:val="93"/>
                <w:vertAlign w:val="superscript"/>
              </w:rPr>
              <w:t>(3)</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72,193</w:t>
            </w:r>
          </w:p>
        </w:tc>
        <w:tc>
          <w:tcPr>
            <w:tcW w:w="980" w:type="dxa"/>
            <w:vAlign w:val="bottom"/>
            <w:tcBorders>
              <w:bottom w:val="single" w:sz="8" w:color="2C2C2C"/>
            </w:tcBorders>
          </w:tcPr>
          <w:p>
            <w:pPr>
              <w:jc w:val="center"/>
              <w:ind w:left="235"/>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8,275</w:t>
            </w:r>
          </w:p>
        </w:tc>
        <w:tc>
          <w:tcPr>
            <w:tcW w:w="980" w:type="dxa"/>
            <w:vAlign w:val="bottom"/>
            <w:tcBorders>
              <w:bottom w:val="single" w:sz="8" w:color="2C2C2C"/>
            </w:tcBorders>
          </w:tcPr>
          <w:p>
            <w:pPr>
              <w:jc w:val="center"/>
              <w:ind w:left="255"/>
              <w:spacing w:after="0"/>
              <w:rPr>
                <w:sz w:val="20"/>
                <w:szCs w:val="20"/>
                <w:color w:val="auto"/>
              </w:rPr>
            </w:pPr>
            <w:r>
              <w:rPr>
                <w:rFonts w:ascii="Times New Roman" w:cs="Times New Roman" w:eastAsia="Times New Roman" w:hAnsi="Times New Roman"/>
                <w:sz w:val="17"/>
                <w:szCs w:val="17"/>
                <w:color w:val="0000FF"/>
              </w:rPr>
              <w:t>I</w:t>
            </w:r>
          </w:p>
        </w:tc>
        <w:tc>
          <w:tcPr>
            <w:tcW w:w="12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1"/>
                <w:szCs w:val="21"/>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10,000</w:t>
            </w:r>
          </w:p>
        </w:tc>
        <w:tc>
          <w:tcPr>
            <w:tcW w:w="980" w:type="dxa"/>
            <w:vAlign w:val="bottom"/>
            <w:vMerge w:val="restart"/>
          </w:tcPr>
          <w:p>
            <w:pPr>
              <w:jc w:val="center"/>
              <w:ind w:left="255"/>
              <w:spacing w:after="0"/>
              <w:rPr>
                <w:sz w:val="20"/>
                <w:szCs w:val="20"/>
                <w:color w:val="auto"/>
              </w:rPr>
            </w:pPr>
            <w:r>
              <w:rPr>
                <w:rFonts w:ascii="Times New Roman" w:cs="Times New Roman" w:eastAsia="Times New Roman" w:hAnsi="Times New Roman"/>
                <w:sz w:val="17"/>
                <w:szCs w:val="17"/>
                <w:color w:val="0000FF"/>
              </w:rPr>
              <w:t>I</w:t>
            </w:r>
          </w:p>
        </w:tc>
        <w:tc>
          <w:tcPr>
            <w:tcW w:w="140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Superannuation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w w:val="93"/>
              </w:rPr>
              <w:t>Fund</w:t>
            </w:r>
            <w:r>
              <w:rPr>
                <w:rFonts w:ascii="Times New Roman" w:cs="Times New Roman" w:eastAsia="Times New Roman" w:hAnsi="Times New Roman"/>
                <w:sz w:val="21"/>
                <w:szCs w:val="21"/>
                <w:color w:val="008000"/>
                <w:w w:val="93"/>
                <w:vertAlign w:val="superscript"/>
              </w:rPr>
              <w:t>(5)</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vMerge w:val="continue"/>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9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320" w:type="dxa"/>
            <w:vAlign w:val="bottom"/>
            <w:gridSpan w:val="13"/>
          </w:tcPr>
          <w:p>
            <w:pPr>
              <w:ind w:left="74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5"/>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3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80" w:type="dxa"/>
            <w:vAlign w:val="bottom"/>
          </w:tcPr>
          <w:p>
            <w:pPr>
              <w:spacing w:after="0"/>
              <w:rPr>
                <w:sz w:val="14"/>
                <w:szCs w:val="14"/>
                <w:color w:val="auto"/>
              </w:rPr>
            </w:pPr>
          </w:p>
        </w:tc>
        <w:tc>
          <w:tcPr>
            <w:tcW w:w="1300" w:type="dxa"/>
            <w:vAlign w:val="bottom"/>
            <w:gridSpan w:val="5"/>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10.</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1"/>
                <w:szCs w:val="11"/>
                <w:color w:val="auto"/>
              </w:rPr>
            </w:pPr>
          </w:p>
        </w:tc>
        <w:tc>
          <w:tcPr>
            <w:tcW w:w="13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80" w:type="dxa"/>
            <w:vAlign w:val="bottom"/>
          </w:tcPr>
          <w:p>
            <w:pPr>
              <w:spacing w:after="0"/>
              <w:rPr>
                <w:sz w:val="11"/>
                <w:szCs w:val="11"/>
                <w:color w:val="auto"/>
              </w:rPr>
            </w:pP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1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1"/>
                <w:szCs w:val="11"/>
                <w:color w:val="auto"/>
              </w:rPr>
            </w:pPr>
          </w:p>
        </w:tc>
        <w:tc>
          <w:tcPr>
            <w:tcW w:w="13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1"/>
                <w:szCs w:val="11"/>
                <w:color w:val="auto"/>
              </w:rPr>
            </w:pP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80" w:type="dxa"/>
            <w:vAlign w:val="bottom"/>
          </w:tcPr>
          <w:p>
            <w:pPr>
              <w:spacing w:after="0"/>
              <w:rPr>
                <w:sz w:val="20"/>
                <w:szCs w:val="20"/>
                <w:color w:val="auto"/>
              </w:rPr>
            </w:pPr>
            <w:r>
              <w:rPr>
                <w:rFonts w:ascii="Arial" w:cs="Arial" w:eastAsia="Arial" w:hAnsi="Arial"/>
                <w:sz w:val="11"/>
                <w:szCs w:val="11"/>
                <w:b w:val="1"/>
                <w:bCs w:val="1"/>
                <w:color w:val="auto"/>
              </w:rPr>
              <w:t>Form:</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w:t>
            </w: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1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Direct (D)</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or Disposed</w:t>
            </w: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680" w:type="dxa"/>
            <w:vAlign w:val="bottom"/>
          </w:tcPr>
          <w:p>
            <w:pPr>
              <w:spacing w:after="0"/>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(D) (Instr.</w:t>
            </w: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860" w:type="dxa"/>
            <w:vAlign w:val="bottom"/>
          </w:tcPr>
          <w:p>
            <w:pPr>
              <w:ind w:left="30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240" w:type="dxa"/>
            <w:vAlign w:val="bottom"/>
          </w:tcPr>
          <w:p>
            <w:pPr>
              <w:spacing w:after="0"/>
              <w:rPr>
                <w:sz w:val="13"/>
                <w:szCs w:val="13"/>
                <w:color w:val="auto"/>
              </w:rPr>
            </w:pPr>
          </w:p>
        </w:tc>
        <w:tc>
          <w:tcPr>
            <w:tcW w:w="1340" w:type="dxa"/>
            <w:vAlign w:val="bottom"/>
            <w:gridSpan w:val="2"/>
          </w:tcPr>
          <w:p>
            <w:pPr>
              <w:spacing w:after="0"/>
              <w:rPr>
                <w:sz w:val="20"/>
                <w:szCs w:val="20"/>
                <w:color w:val="auto"/>
              </w:rPr>
            </w:pPr>
            <w:r>
              <w:rPr>
                <w:rFonts w:ascii="Arial" w:cs="Arial" w:eastAsia="Arial" w:hAnsi="Arial"/>
                <w:sz w:val="11"/>
                <w:szCs w:val="11"/>
                <w:b w:val="1"/>
                <w:bCs w:val="1"/>
                <w:color w:val="auto"/>
              </w:rPr>
              <w:t>Exercisable  Date</w:t>
            </w:r>
          </w:p>
        </w:tc>
        <w:tc>
          <w:tcPr>
            <w:tcW w:w="8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2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35.42</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06/15/2026</w:t>
            </w:r>
          </w:p>
        </w:tc>
        <w:tc>
          <w:tcPr>
            <w:tcW w:w="108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7"/>
                <w:szCs w:val="17"/>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0000FF"/>
              </w:rPr>
              <w:t>135,000</w:t>
            </w:r>
          </w:p>
        </w:tc>
        <w:tc>
          <w:tcPr>
            <w:tcW w:w="48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0000FF"/>
              </w:rPr>
              <w:t>09/28/2026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527,933</w:t>
            </w:r>
          </w:p>
        </w:tc>
        <w:tc>
          <w:tcPr>
            <w:tcW w:w="6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via CHESS Depositary Interests ("CDIs"), which are units of beneficial ownership in shares of common stock of the Company that are publicly traded on the Australian Securities Exchange (the "ASX") and held by CHESS Depositary Nominees Pty. Limited, a subsidiary of ASX Limited, the company that operates the ASX. Each CDI represents one fully paid share of common stock.</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withholding of CDIs to pay the exercise price upon the exercise of stock options. Price converted from Australian Dollars into U.S. Dollars based on an exchange rate of $1 AUD to $0.7047 USD.</w:t>
      </w:r>
    </w:p>
    <w:p>
      <w:pPr>
        <w:spacing w:after="0" w:line="52" w:lineRule="exact"/>
        <w:rPr>
          <w:rFonts w:ascii="Times New Roman" w:cs="Times New Roman" w:eastAsia="Times New Roman" w:hAnsi="Times New Roman"/>
          <w:sz w:val="12"/>
          <w:szCs w:val="12"/>
          <w:color w:val="008000"/>
        </w:rPr>
      </w:pPr>
    </w:p>
    <w:p>
      <w:pPr>
        <w:ind w:left="40" w:right="4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sale of CDIs to cover tax liability in connection with the exercise of stock options. Price converted from Australian Dollars into U.S. Dollars based on an exchange rate of $1 AUD to $0.7068 USD.</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by New Dusk Pty Ltd (Odell Family Trust), of which Mr. Odell serves as a director and a shareholder and is a beneficiary of the trust.</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by the Jamie and Caroline Odell Superannuation Fund, a fund of which Mr. Odell is the beneficiary.</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vested in three equal installments on September 28, 2021, 2022 and 2023.</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Sweta Gabhawala, attorney-</w:t>
            </w:r>
          </w:p>
        </w:tc>
        <w:tc>
          <w:tcPr>
            <w:tcW w:w="14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06/17/2026</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in-fact for Jamie Odell</w:t>
            </w:r>
          </w:p>
        </w:tc>
        <w:tc>
          <w:tcPr>
            <w:tcW w:w="70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POWER OF ATTORNEY</w:t>
      </w:r>
    </w:p>
    <w:p>
      <w:pPr>
        <w:spacing w:after="0" w:line="216" w:lineRule="exact"/>
        <w:rPr>
          <w:sz w:val="20"/>
          <w:szCs w:val="20"/>
          <w:color w:val="auto"/>
        </w:rPr>
      </w:pPr>
    </w:p>
    <w:p>
      <w:pPr>
        <w:ind w:firstLine="610"/>
        <w:spacing w:after="0" w:line="278"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Susan Dawson, John Cuddihy and Sweta Gabhawala, signing singly, the undersigned’s true and lawful attorneys-in-fact to:</w:t>
      </w:r>
    </w:p>
    <w:p>
      <w:pPr>
        <w:spacing w:after="0" w:line="158" w:lineRule="exact"/>
        <w:rPr>
          <w:sz w:val="20"/>
          <w:szCs w:val="20"/>
          <w:color w:val="auto"/>
        </w:rPr>
      </w:pPr>
    </w:p>
    <w:p>
      <w:pPr>
        <w:jc w:val="both"/>
        <w:ind w:left="620" w:right="460" w:hanging="313"/>
        <w:spacing w:after="0" w:line="264"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capacity as an officer and/or director of Light &amp; Wonder, Inc. (the “Company”), Forms 3, 4 and 5 in accordance with Section 16(a) of the Securities Exchange Act of 1934, as amended (the “Exchange Act”), and the rules thereunder;</w:t>
      </w:r>
    </w:p>
    <w:p>
      <w:pPr>
        <w:spacing w:after="0" w:line="168" w:lineRule="exact"/>
        <w:rPr>
          <w:rFonts w:ascii="Times New Roman" w:cs="Times New Roman" w:eastAsia="Times New Roman" w:hAnsi="Times New Roman"/>
          <w:sz w:val="17"/>
          <w:szCs w:val="17"/>
          <w:color w:val="auto"/>
        </w:rPr>
      </w:pPr>
    </w:p>
    <w:p>
      <w:pPr>
        <w:jc w:val="both"/>
        <w:ind w:left="620" w:right="460" w:hanging="313"/>
        <w:spacing w:after="0" w:line="264"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and 5, and any amendments thereto, and timely file such form or report with the Securities and Exchange Commission and any stock exchange or similar authority; and</w:t>
      </w:r>
    </w:p>
    <w:p>
      <w:pPr>
        <w:spacing w:after="0" w:line="168" w:lineRule="exact"/>
        <w:rPr>
          <w:rFonts w:ascii="Times New Roman" w:cs="Times New Roman" w:eastAsia="Times New Roman" w:hAnsi="Times New Roman"/>
          <w:sz w:val="17"/>
          <w:szCs w:val="17"/>
          <w:color w:val="auto"/>
        </w:rPr>
      </w:pPr>
    </w:p>
    <w:p>
      <w:pPr>
        <w:jc w:val="both"/>
        <w:ind w:left="620" w:right="460" w:hanging="313"/>
        <w:spacing w:after="0" w:line="259"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4"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8"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This Power of Attorney supersedes any Power of Attorney previously granted by the undersigned with respect to the foregoing matters and shall remain in full force and effect until the undersigned is no longer required to file Forms 3, 4 or 5 with respect to the undersigned’s holdings of and transactions in securities issued by the Company, unless earlier revoked by the undersigned in a signed writing delivered to the foregoing attorneys-in-fact.</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executed this Power of Attorney on this 17th day of June, 2026.</w:t>
      </w:r>
    </w:p>
    <w:p>
      <w:pPr>
        <w:spacing w:after="0" w:line="200" w:lineRule="exact"/>
        <w:rPr>
          <w:sz w:val="20"/>
          <w:szCs w:val="20"/>
          <w:color w:val="auto"/>
        </w:rPr>
      </w:pPr>
    </w:p>
    <w:p>
      <w:pPr>
        <w:spacing w:after="0" w:line="21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Jamie R. Odell</w:t>
      </w:r>
    </w:p>
    <w:p>
      <w:pPr>
        <w:spacing w:after="0" w:line="2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Jamie R. Odell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-123190</wp:posOffset>
            </wp:positionV>
            <wp:extent cx="26492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sectPr>
      <w:pgSz w:w="11900" w:h="16838" w:orient="portrait"/>
      <w:cols w:equalWidth="0" w:num="1">
        <w:col w:w="10980"/>
      </w:cols>
      <w:pgMar w:left="460" w:top="34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4876" TargetMode="External"/><Relationship Id="rId14" Type="http://schemas.openxmlformats.org/officeDocument/2006/relationships/hyperlink" Target="http://www.sec.gov/cgi-bin/browse-edgar?action=getcompany&amp;CIK=00007500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2026-06-17T20:54:09Z</dcterms:created>
  <dcterms:modified xsi:type="dcterms:W3CDTF">2026-06-17T20:54:09Z</dcterms:modified>
</cp:coreProperties>
</file>