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6" w:lineRule="exact"/>
        <w:rPr>
          <w:sz w:val="24"/>
          <w:szCs w:val="24"/>
          <w:color w:val="auto"/>
        </w:rPr>
      </w:pPr>
    </w:p>
    <w:p>
      <w:pPr>
        <w:ind w:right="700" w:firstLine="8"/>
        <w:spacing w:after="0" w:line="263" w:lineRule="auto"/>
        <w:tabs>
          <w:tab w:leader="none" w:pos="40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right="700" w:firstLine="8"/>
        <w:spacing w:after="0" w:line="260" w:lineRule="auto"/>
        <w:tabs>
          <w:tab w:leader="none" w:pos="405"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9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Commission file number: 001-11693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53975</wp:posOffset>
            </wp:positionV>
            <wp:extent cx="128587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LIGHT &amp; WONDER,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9"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81-0422894</w:t>
            </w:r>
          </w:p>
        </w:tc>
      </w:tr>
      <w:tr>
        <w:trPr>
          <w:trHeight w:val="257"/>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68"/>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6601 Bermuda Road, Las Vegas, Nevada</w:t>
            </w:r>
          </w:p>
        </w:tc>
        <w:tc>
          <w:tcPr>
            <w:tcW w:w="38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89119</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(702) 897-7150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r>
    </w:tbl>
    <w:p>
      <w:pPr>
        <w:spacing w:after="0" w:line="31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34290</wp:posOffset>
            </wp:positionV>
            <wp:extent cx="2828925"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8925" cy="317500"/>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51" w:lineRule="exact"/>
        <w:rPr>
          <w:sz w:val="24"/>
          <w:szCs w:val="24"/>
          <w:color w:val="auto"/>
        </w:rPr>
      </w:pPr>
    </w:p>
    <w:p>
      <w:pPr>
        <w:ind w:right="8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8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1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236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7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36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47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1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099"/>
        </w:trPr>
        <w:tc>
          <w:tcPr>
            <w:tcW w:w="47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940" w:right="319" w:bottom="1440" w:gutter="0" w:footer="0" w:header="0"/>
        </w:sectPr>
      </w:pPr>
    </w:p>
    <w:bookmarkStart w:id="1" w:name="page2"/>
    <w:bookmarkEnd w:id="1"/>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240" w:firstLine="486"/>
        <w:spacing w:after="0" w:line="242" w:lineRule="auto"/>
        <w:rPr>
          <w:sz w:val="20"/>
          <w:szCs w:val="20"/>
          <w:color w:val="auto"/>
        </w:rPr>
      </w:pPr>
      <w:r>
        <w:rPr>
          <w:rFonts w:ascii="Times New Roman" w:cs="Times New Roman" w:eastAsia="Times New Roman" w:hAnsi="Times New Roman"/>
          <w:sz w:val="18"/>
          <w:szCs w:val="18"/>
          <w:color w:val="auto"/>
        </w:rPr>
        <w:t>The registrant’s common stock is publicly traded on the Australian Securities Exchange in the form of CHESS Depositary Interests, or CDIs, convertible at the option of the holders into shares of the registrant’s common stock on a one-for-one basis. The total number of shares of the registrant’s common stock outstanding as of October 30, 2026, including shares of common stock underlying the issued and outstanding CDIs, was 77,049,181 (including 0.7 million CDIs held in a trust account with the registrant’s equity plan administrator for future issuance in connection with the vesting or exercise of equity-based awards granted by the registrant).</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AND OTHER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60" w:type="dxa"/>
            <w:vAlign w:val="bottom"/>
            <w:gridSpan w:val="2"/>
            <w:vMerge w:val="restart"/>
          </w:tcPr>
          <w:p>
            <w:pPr>
              <w:spacing w:after="0"/>
              <w:rPr>
                <w:sz w:val="20"/>
                <w:szCs w:val="20"/>
                <w:color w:val="auto"/>
              </w:rPr>
            </w:pPr>
          </w:p>
        </w:tc>
        <w:tc>
          <w:tcPr>
            <w:tcW w:w="24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7180" w:type="dxa"/>
            <w:vAlign w:val="bottom"/>
            <w:gridSpan w:val="8"/>
            <w:vMerge w:val="restart"/>
          </w:tcPr>
          <w:p>
            <w:pPr>
              <w:spacing w:after="0"/>
              <w:rPr>
                <w:sz w:val="20"/>
                <w:szCs w:val="20"/>
                <w:color w:val="auto"/>
              </w:rPr>
            </w:pPr>
          </w:p>
        </w:tc>
        <w:tc>
          <w:tcPr>
            <w:tcW w:w="5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640" w:type="dxa"/>
            <w:vAlign w:val="bottom"/>
            <w:tcBorders>
              <w:bottom w:val="single" w:sz="8" w:color="0000FF"/>
            </w:tcBorders>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0" w:type="dxa"/>
            <w:vAlign w:val="bottom"/>
            <w:tcBorders>
              <w:bottom w:val="single" w:sz="8" w:color="0000FF"/>
            </w:tcBorders>
            <w:gridSpan w:val="8"/>
            <w:vMerge w:val="continue"/>
          </w:tcPr>
          <w:p>
            <w:pPr>
              <w:spacing w:after="0"/>
              <w:rPr>
                <w:sz w:val="14"/>
                <w:szCs w:val="14"/>
                <w:color w:val="auto"/>
              </w:rPr>
            </w:pPr>
          </w:p>
        </w:tc>
        <w:tc>
          <w:tcPr>
            <w:tcW w:w="7180" w:type="dxa"/>
            <w:vAlign w:val="bottom"/>
            <w:gridSpan w:val="8"/>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41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Condensed Consolidated Financial Statements (unaudited)</w:t>
            </w:r>
          </w:p>
        </w:tc>
        <w:tc>
          <w:tcPr>
            <w:tcW w:w="5420" w:type="dxa"/>
            <w:vAlign w:val="bottom"/>
            <w:gridSpan w:val="7"/>
          </w:tcPr>
          <w:p>
            <w:pPr>
              <w:spacing w:after="0"/>
              <w:rPr>
                <w:sz w:val="24"/>
                <w:szCs w:val="24"/>
                <w:color w:val="auto"/>
              </w:rPr>
            </w:pPr>
          </w:p>
        </w:tc>
        <w:tc>
          <w:tcPr>
            <w:tcW w:w="3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0000FF"/>
                <w:w w:val="88"/>
              </w:rPr>
              <w:t>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3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0000FF"/>
                <w:w w:val="88"/>
              </w:rPr>
              <w:t>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Nine Months Ended September 30, 2026 and 2025</w:t>
            </w:r>
          </w:p>
        </w:tc>
        <w:tc>
          <w:tcPr>
            <w:tcW w:w="1620" w:type="dxa"/>
            <w:vAlign w:val="bottom"/>
            <w:gridSpan w:val="3"/>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Three and Nine Months Ended September 30, 2026 and 2025</w:t>
            </w:r>
          </w:p>
        </w:tc>
        <w:tc>
          <w:tcPr>
            <w:tcW w:w="3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0000FF"/>
                <w:w w:val="88"/>
              </w:rPr>
              <w:t>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September 30, 2026 and December 31, 2025</w:t>
            </w:r>
          </w:p>
        </w:tc>
        <w:tc>
          <w:tcPr>
            <w:tcW w:w="298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w:t>
            </w: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920" w:type="dxa"/>
            <w:vAlign w:val="bottom"/>
            <w:gridSpan w:val="5"/>
          </w:tcPr>
          <w:p>
            <w:pPr>
              <w:spacing w:after="0"/>
              <w:rPr>
                <w:sz w:val="24"/>
                <w:szCs w:val="24"/>
                <w:color w:val="auto"/>
              </w:rPr>
            </w:pPr>
          </w:p>
        </w:tc>
        <w:tc>
          <w:tcPr>
            <w:tcW w:w="1500" w:type="dxa"/>
            <w:vAlign w:val="bottom"/>
            <w:gridSpan w:val="2"/>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40" w:type="dxa"/>
            <w:vAlign w:val="bottom"/>
            <w:gridSpan w:val="4"/>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2"/>
          </w:tcPr>
          <w:p>
            <w:pPr>
              <w:spacing w:after="0"/>
              <w:rPr>
                <w:sz w:val="24"/>
                <w:szCs w:val="24"/>
                <w:color w:val="auto"/>
              </w:rPr>
            </w:pPr>
          </w:p>
        </w:tc>
        <w:tc>
          <w:tcPr>
            <w:tcW w:w="3140" w:type="dxa"/>
            <w:vAlign w:val="bottom"/>
            <w:gridSpan w:val="4"/>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40" w:type="dxa"/>
            <w:vAlign w:val="bottom"/>
            <w:gridSpan w:val="6"/>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5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0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00" w:type="dxa"/>
            <w:vAlign w:val="bottom"/>
            <w:gridSpan w:val="2"/>
          </w:tcPr>
          <w:p>
            <w:pPr>
              <w:spacing w:after="0"/>
              <w:rPr>
                <w:sz w:val="24"/>
                <w:szCs w:val="24"/>
                <w:color w:val="auto"/>
              </w:rPr>
            </w:pPr>
          </w:p>
        </w:tc>
        <w:tc>
          <w:tcPr>
            <w:tcW w:w="7560" w:type="dxa"/>
            <w:vAlign w:val="bottom"/>
            <w:gridSpan w:val="10"/>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60" w:type="dxa"/>
            <w:vAlign w:val="bottom"/>
            <w:gridSpan w:val="12"/>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240" w:type="dxa"/>
            <w:vAlign w:val="bottom"/>
            <w:gridSpan w:val="6"/>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60" w:type="dxa"/>
            <w:vAlign w:val="bottom"/>
            <w:gridSpan w:val="9"/>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Pr>
          <w:p>
            <w:pPr>
              <w:spacing w:after="0"/>
              <w:rPr>
                <w:sz w:val="24"/>
                <w:szCs w:val="24"/>
                <w:color w:val="auto"/>
              </w:rPr>
            </w:pPr>
          </w:p>
        </w:tc>
        <w:tc>
          <w:tcPr>
            <w:tcW w:w="7820" w:type="dxa"/>
            <w:vAlign w:val="bottom"/>
            <w:gridSpan w:val="11"/>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60" w:type="dxa"/>
            <w:vAlign w:val="bottom"/>
            <w:gridSpan w:val="12"/>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2"/>
          </w:tcPr>
          <w:p>
            <w:pPr>
              <w:spacing w:after="0"/>
              <w:rPr>
                <w:sz w:val="24"/>
                <w:szCs w:val="24"/>
                <w:color w:val="auto"/>
              </w:rPr>
            </w:pPr>
          </w:p>
        </w:tc>
        <w:tc>
          <w:tcPr>
            <w:tcW w:w="8260" w:type="dxa"/>
            <w:vAlign w:val="bottom"/>
            <w:gridSpan w:val="12"/>
          </w:tcPr>
          <w:p>
            <w:pPr>
              <w:spacing w:after="0"/>
              <w:rPr>
                <w:sz w:val="24"/>
                <w:szCs w:val="24"/>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5300" w:type="dxa"/>
            <w:vAlign w:val="bottom"/>
            <w:gridSpan w:val="9"/>
          </w:tcPr>
          <w:p>
            <w:pPr>
              <w:jc w:val="right"/>
              <w:ind w:right="138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or acronyms used in this Quarterly Report on Form 10-Q are defined below:</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 or Acronym</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10-K</w:t>
            </w:r>
          </w:p>
        </w:tc>
        <w:tc>
          <w:tcPr>
            <w:tcW w:w="100" w:type="dxa"/>
            <w:vAlign w:val="bottom"/>
            <w:tcBorders>
              <w:top w:val="single" w:sz="8" w:color="CCEEFF"/>
            </w:tcBorders>
            <w:shd w:val="clear" w:color="auto" w:fill="CCEEFF"/>
          </w:tcPr>
          <w:p>
            <w:pPr>
              <w:spacing w:after="0"/>
              <w:rPr>
                <w:sz w:val="19"/>
                <w:szCs w:val="19"/>
                <w:color w:val="auto"/>
              </w:rPr>
            </w:pPr>
          </w:p>
        </w:tc>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Annual Report on Form 10-K filed with SEC on February 24, 2026</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Unsecured Notes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7.250% senior unsecured notes due 2029 issued by LNWI</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Unsecured Notes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senior unsecured notes due 2031 issued by LNWI</w:t>
            </w:r>
          </w:p>
        </w:tc>
        <w:tc>
          <w:tcPr>
            <w:tcW w:w="0" w:type="dxa"/>
            <w:vAlign w:val="bottom"/>
          </w:tcPr>
          <w:p>
            <w:pPr>
              <w:spacing w:after="0"/>
              <w:rPr>
                <w:sz w:val="1"/>
                <w:szCs w:val="1"/>
                <w:color w:val="auto"/>
              </w:rPr>
            </w:pPr>
          </w:p>
        </w:tc>
      </w:tr>
      <w:tr>
        <w:trPr>
          <w:trHeight w:val="23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2033 Unsecured Notes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2033 issued by LNWI</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AEBITDA</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our primary performance measure of profit or loss for our business segments</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ASX</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Australian Securities Exchange</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CDIs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CHESS depositary interests</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casino-management system</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impairments (excluding goodwill)</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0" w:type="dxa"/>
            <w:vAlign w:val="bottom"/>
          </w:tcPr>
          <w:p>
            <w:pPr>
              <w:spacing w:after="0"/>
              <w:rPr>
                <w:sz w:val="1"/>
                <w:szCs w:val="1"/>
                <w:color w:val="auto"/>
              </w:rPr>
            </w:pPr>
          </w:p>
        </w:tc>
      </w:tr>
      <w:tr>
        <w:trPr>
          <w:trHeight w:val="23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Grover</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Grover Charitable Gaming business acquired on May 16, 2025</w:t>
            </w:r>
          </w:p>
        </w:tc>
        <w:tc>
          <w:tcPr>
            <w:tcW w:w="0" w:type="dxa"/>
            <w:vAlign w:val="bottom"/>
          </w:tcPr>
          <w:p>
            <w:pPr>
              <w:spacing w:after="0"/>
              <w:rPr>
                <w:sz w:val="1"/>
                <w:szCs w:val="1"/>
                <w:color w:val="auto"/>
              </w:rPr>
            </w:pPr>
          </w:p>
        </w:tc>
      </w:tr>
      <w:tr>
        <w:trPr>
          <w:trHeight w:val="23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KPIs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Performance Indicators</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L&amp;W</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&amp; Wonder, Inc.</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LBO</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betting office</w:t>
            </w:r>
          </w:p>
        </w:tc>
        <w:tc>
          <w:tcPr>
            <w:tcW w:w="0" w:type="dxa"/>
            <w:vAlign w:val="bottom"/>
          </w:tcPr>
          <w:p>
            <w:pPr>
              <w:spacing w:after="0"/>
              <w:rPr>
                <w:sz w:val="1"/>
                <w:szCs w:val="1"/>
                <w:color w:val="auto"/>
              </w:rPr>
            </w:pPr>
          </w:p>
        </w:tc>
      </w:tr>
      <w:tr>
        <w:trPr>
          <w:trHeight w:val="184"/>
        </w:trPr>
        <w:tc>
          <w:tcPr>
            <w:tcW w:w="2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LNWI</w:t>
            </w: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Light and Wonder International, Inc., a wholly owned subsidiary of L&amp;W and successor to Scientific Games</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8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Inc.</w:t>
            </w:r>
          </w:p>
        </w:tc>
        <w:tc>
          <w:tcPr>
            <w:tcW w:w="0" w:type="dxa"/>
            <w:vAlign w:val="bottom"/>
          </w:tcPr>
          <w:p>
            <w:pPr>
              <w:spacing w:after="0"/>
              <w:rPr>
                <w:sz w:val="1"/>
                <w:szCs w:val="1"/>
                <w:color w:val="auto"/>
              </w:rPr>
            </w:pPr>
          </w:p>
        </w:tc>
      </w:tr>
      <w:tr>
        <w:trPr>
          <w:trHeight w:val="94"/>
        </w:trPr>
        <w:tc>
          <w:tcPr>
            <w:tcW w:w="2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5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That certain credit agreement, dated as of April 14, 2022, among LNWI, as the borrower, L&amp;W, as a guarantor, the</w:t>
            </w:r>
          </w:p>
        </w:tc>
        <w:tc>
          <w:tcPr>
            <w:tcW w:w="0" w:type="dxa"/>
            <w:vAlign w:val="bottom"/>
          </w:tcPr>
          <w:p>
            <w:pPr>
              <w:spacing w:after="0"/>
              <w:rPr>
                <w:sz w:val="1"/>
                <w:szCs w:val="1"/>
                <w:color w:val="auto"/>
              </w:rPr>
            </w:pPr>
          </w:p>
        </w:tc>
      </w:tr>
      <w:tr>
        <w:trPr>
          <w:trHeight w:val="180"/>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lenders from time to time party thereto, JPMorgan Chase Bank, N.A., as Administrative Agent, Collateral Agent and</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Swingline Lender, BofA Securities, Inc., BNP Paribas Securities Corp., Deutsche Bank Securities Inc., Fifth Third</w:t>
            </w:r>
          </w:p>
        </w:tc>
        <w:tc>
          <w:tcPr>
            <w:tcW w:w="0" w:type="dxa"/>
            <w:vAlign w:val="bottom"/>
          </w:tcPr>
          <w:p>
            <w:pPr>
              <w:spacing w:after="0"/>
              <w:rPr>
                <w:sz w:val="1"/>
                <w:szCs w:val="1"/>
                <w:color w:val="auto"/>
              </w:rPr>
            </w:pPr>
          </w:p>
        </w:tc>
      </w:tr>
      <w:tr>
        <w:trPr>
          <w:trHeight w:val="184"/>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LNWI Credit Agreement</w:t>
            </w: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National Association, Barclays Bank PLC, Citizens Bank, N.A., Goldman Sachs Bank USA, Morgan Stanley</w:t>
            </w:r>
          </w:p>
        </w:tc>
        <w:tc>
          <w:tcPr>
            <w:tcW w:w="0" w:type="dxa"/>
            <w:vAlign w:val="bottom"/>
          </w:tcPr>
          <w:p>
            <w:pPr>
              <w:spacing w:after="0"/>
              <w:rPr>
                <w:sz w:val="1"/>
                <w:szCs w:val="1"/>
                <w:color w:val="auto"/>
              </w:rPr>
            </w:pPr>
          </w:p>
        </w:tc>
      </w:tr>
      <w:tr>
        <w:trPr>
          <w:trHeight w:val="113"/>
        </w:trPr>
        <w:tc>
          <w:tcPr>
            <w:tcW w:w="2640" w:type="dxa"/>
            <w:vAlign w:val="bottom"/>
            <w:gridSpan w:val="2"/>
            <w:vMerge w:val="continue"/>
          </w:tcPr>
          <w:p>
            <w:pPr>
              <w:spacing w:after="0"/>
              <w:rPr>
                <w:sz w:val="9"/>
                <w:szCs w:val="9"/>
                <w:color w:val="auto"/>
              </w:rPr>
            </w:pPr>
          </w:p>
        </w:tc>
        <w:tc>
          <w:tcPr>
            <w:tcW w:w="856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Funding, Inc., Royal Bank of Canada, Truist Securities, Inc., Credit Suisse Loan Funding LLC and Macquarie</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 (USA) Inc. as Lead Arrangers and Joint Bookrunners, as amended, restated, amended and restated,</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supplemented or otherwise modified from time to time</w:t>
            </w: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That certain credit agreement, dated as of May 15, 2025, among LNWI, as the borrower, L&amp;W, as a guarantor, the</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lenders from time to time party thereto, JPMorgan Chase Bank, N.A., as Administrative Agent and Collateral Agent,</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BofA Securities, Inc., Wells Fargo Securities, LLC, PNC Capital Markets LLC, Truist</w:t>
            </w:r>
          </w:p>
        </w:tc>
        <w:tc>
          <w:tcPr>
            <w:tcW w:w="0" w:type="dxa"/>
            <w:vAlign w:val="bottom"/>
          </w:tcPr>
          <w:p>
            <w:pPr>
              <w:spacing w:after="0"/>
              <w:rPr>
                <w:sz w:val="1"/>
                <w:szCs w:val="1"/>
                <w:color w:val="auto"/>
              </w:rPr>
            </w:pPr>
          </w:p>
        </w:tc>
      </w:tr>
      <w:tr>
        <w:trPr>
          <w:trHeight w:val="184"/>
        </w:trPr>
        <w:tc>
          <w:tcPr>
            <w:tcW w:w="2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LNWI Credit Agreement A</w:t>
            </w: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Securities, Inc., Citizens Bank, N.A., Sumitomo Mitsui Banking Corporation, BNP Paribas Securities Corp., KeyBanc</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8560" w:type="dxa"/>
            <w:vAlign w:val="bottom"/>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Capital Markets Inc., U.S. Bank National Association, Fifth Third Bank, National Association, Goldman Sachs Bank</w:t>
            </w:r>
          </w:p>
        </w:tc>
        <w:tc>
          <w:tcPr>
            <w:tcW w:w="0" w:type="dxa"/>
            <w:vAlign w:val="bottom"/>
          </w:tcPr>
          <w:p>
            <w:pPr>
              <w:spacing w:after="0"/>
              <w:rPr>
                <w:sz w:val="1"/>
                <w:szCs w:val="1"/>
                <w:color w:val="auto"/>
              </w:rPr>
            </w:pPr>
          </w:p>
        </w:tc>
      </w:tr>
      <w:tr>
        <w:trPr>
          <w:trHeight w:val="40"/>
        </w:trPr>
        <w:tc>
          <w:tcPr>
            <w:tcW w:w="2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56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USA and Morgan Stanley Senior Funding, Inc. as Joint Lead Arrangers and Joint Bookrunners and Deutsche Bank</w:t>
            </w:r>
          </w:p>
        </w:tc>
        <w:tc>
          <w:tcPr>
            <w:tcW w:w="0" w:type="dxa"/>
            <w:vAlign w:val="bottom"/>
          </w:tcPr>
          <w:p>
            <w:pPr>
              <w:spacing w:after="0"/>
              <w:rPr>
                <w:sz w:val="1"/>
                <w:szCs w:val="1"/>
                <w:color w:val="auto"/>
              </w:rPr>
            </w:pPr>
          </w:p>
        </w:tc>
      </w:tr>
      <w:tr>
        <w:trPr>
          <w:trHeight w:val="184"/>
        </w:trPr>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Securities Inc., as Co-Documentation Agent, as amended, restated, amended and restated, supplemented or otherwise</w:t>
            </w: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modified from time to time</w:t>
            </w:r>
          </w:p>
        </w:tc>
        <w:tc>
          <w:tcPr>
            <w:tcW w:w="0" w:type="dxa"/>
            <w:vAlign w:val="bottom"/>
          </w:tcPr>
          <w:p>
            <w:pPr>
              <w:spacing w:after="0"/>
              <w:rPr>
                <w:sz w:val="1"/>
                <w:szCs w:val="1"/>
                <w:color w:val="auto"/>
              </w:rPr>
            </w:pPr>
          </w:p>
        </w:tc>
      </w:tr>
      <w:tr>
        <w:trPr>
          <w:trHeight w:val="184"/>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LNWI Revolver</w:t>
            </w: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Revolving credit facility with aggregate commitments of $1.0 billion extended pursuant to the LNWI Credit</w:t>
            </w:r>
          </w:p>
        </w:tc>
        <w:tc>
          <w:tcPr>
            <w:tcW w:w="0" w:type="dxa"/>
            <w:vAlign w:val="bottom"/>
          </w:tcPr>
          <w:p>
            <w:pPr>
              <w:spacing w:after="0"/>
              <w:rPr>
                <w:sz w:val="1"/>
                <w:szCs w:val="1"/>
                <w:color w:val="auto"/>
              </w:rPr>
            </w:pPr>
          </w:p>
        </w:tc>
      </w:tr>
      <w:tr>
        <w:trPr>
          <w:trHeight w:val="140"/>
        </w:trPr>
        <w:tc>
          <w:tcPr>
            <w:tcW w:w="2640" w:type="dxa"/>
            <w:vAlign w:val="bottom"/>
            <w:gridSpan w:val="2"/>
            <w:vMerge w:val="continue"/>
          </w:tcPr>
          <w:p>
            <w:pPr>
              <w:spacing w:after="0"/>
              <w:rPr>
                <w:sz w:val="12"/>
                <w:szCs w:val="12"/>
                <w:color w:val="auto"/>
              </w:rPr>
            </w:pPr>
          </w:p>
        </w:tc>
        <w:tc>
          <w:tcPr>
            <w:tcW w:w="8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0" w:type="dxa"/>
            <w:vAlign w:val="bottom"/>
          </w:tcPr>
          <w:p>
            <w:pPr>
              <w:spacing w:after="0"/>
              <w:rPr>
                <w:sz w:val="1"/>
                <w:szCs w:val="1"/>
                <w:color w:val="auto"/>
              </w:rPr>
            </w:pPr>
          </w:p>
        </w:tc>
      </w:tr>
      <w:tr>
        <w:trPr>
          <w:trHeight w:val="94"/>
        </w:trPr>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LNWI Term Loan A</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 facility provided for by the LNWI Credit Agreement A</w:t>
            </w:r>
          </w:p>
        </w:tc>
        <w:tc>
          <w:tcPr>
            <w:tcW w:w="0" w:type="dxa"/>
            <w:vAlign w:val="bottom"/>
          </w:tcPr>
          <w:p>
            <w:pPr>
              <w:spacing w:after="0"/>
              <w:rPr>
                <w:sz w:val="1"/>
                <w:szCs w:val="1"/>
                <w:color w:val="auto"/>
              </w:rPr>
            </w:pPr>
          </w:p>
        </w:tc>
      </w:tr>
      <w:tr>
        <w:trPr>
          <w:trHeight w:val="23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LNWI Term Loan B</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 facility provided for by the LNWI Credit Agreement</w:t>
            </w:r>
          </w:p>
        </w:tc>
        <w:tc>
          <w:tcPr>
            <w:tcW w:w="0" w:type="dxa"/>
            <w:vAlign w:val="bottom"/>
          </w:tcPr>
          <w:p>
            <w:pPr>
              <w:spacing w:after="0"/>
              <w:rPr>
                <w:sz w:val="1"/>
                <w:szCs w:val="1"/>
                <w:color w:val="auto"/>
              </w:rPr>
            </w:pPr>
          </w:p>
        </w:tc>
      </w:tr>
      <w:tr>
        <w:trPr>
          <w:trHeight w:val="184"/>
        </w:trPr>
        <w:tc>
          <w:tcPr>
            <w:tcW w:w="2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 note in the Notes to Condensed Consolidated Financial Statements in this Quarterly Report on Form 10-Q, unless</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8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otherwise indicated</w:t>
            </w:r>
          </w:p>
        </w:tc>
        <w:tc>
          <w:tcPr>
            <w:tcW w:w="0" w:type="dxa"/>
            <w:vAlign w:val="bottom"/>
          </w:tcPr>
          <w:p>
            <w:pPr>
              <w:spacing w:after="0"/>
              <w:rPr>
                <w:sz w:val="1"/>
                <w:szCs w:val="1"/>
                <w:color w:val="auto"/>
              </w:rPr>
            </w:pPr>
          </w:p>
        </w:tc>
      </w:tr>
      <w:tr>
        <w:trPr>
          <w:trHeight w:val="94"/>
        </w:trPr>
        <w:tc>
          <w:tcPr>
            <w:tcW w:w="2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5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Refers to gaming machines provided to customers through service or leasing arrangements in which we earn revenues</w:t>
            </w:r>
          </w:p>
        </w:tc>
        <w:tc>
          <w:tcPr>
            <w:tcW w:w="0" w:type="dxa"/>
            <w:vAlign w:val="bottom"/>
          </w:tcPr>
          <w:p>
            <w:pPr>
              <w:spacing w:after="0"/>
              <w:rPr>
                <w:sz w:val="1"/>
                <w:szCs w:val="1"/>
                <w:color w:val="auto"/>
              </w:rPr>
            </w:pPr>
          </w:p>
        </w:tc>
      </w:tr>
      <w:tr>
        <w:trPr>
          <w:trHeight w:val="180"/>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Participation</w:t>
            </w:r>
          </w:p>
        </w:tc>
        <w:tc>
          <w:tcPr>
            <w:tcW w:w="8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and are paid based on: (1) a percentage of the amount wagered less payouts; (2) fixed daily-fees; (3) a percentage of</w:t>
            </w:r>
          </w:p>
        </w:tc>
        <w:tc>
          <w:tcPr>
            <w:tcW w:w="0" w:type="dxa"/>
            <w:vAlign w:val="bottom"/>
          </w:tcPr>
          <w:p>
            <w:pPr>
              <w:spacing w:after="0"/>
              <w:rPr>
                <w:sz w:val="1"/>
                <w:szCs w:val="1"/>
                <w:color w:val="auto"/>
              </w:rPr>
            </w:pPr>
          </w:p>
        </w:tc>
      </w:tr>
      <w:tr>
        <w:trPr>
          <w:trHeight w:val="175"/>
        </w:trPr>
        <w:tc>
          <w:tcPr>
            <w:tcW w:w="2640" w:type="dxa"/>
            <w:vAlign w:val="bottom"/>
            <w:gridSpan w:val="2"/>
            <w:vMerge w:val="continue"/>
          </w:tcPr>
          <w:p>
            <w:pPr>
              <w:spacing w:after="0"/>
              <w:rPr>
                <w:sz w:val="15"/>
                <w:szCs w:val="15"/>
                <w:color w:val="auto"/>
              </w:rPr>
            </w:pPr>
          </w:p>
        </w:tc>
        <w:tc>
          <w:tcPr>
            <w:tcW w:w="8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amount wagered; or (4) a combination of (2) and (3). Premium Gaming operations units are Participation games</w:t>
            </w: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on the Company’s premium hardware and/or content, which generate higher average daily revenue per unit than other</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Participation units, and exclude Grover units</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SciPlay</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SciPlay business segment</w:t>
            </w:r>
          </w:p>
        </w:tc>
        <w:tc>
          <w:tcPr>
            <w:tcW w:w="0" w:type="dxa"/>
            <w:vAlign w:val="bottom"/>
          </w:tcPr>
          <w:p>
            <w:pPr>
              <w:spacing w:after="0"/>
              <w:rPr>
                <w:sz w:val="1"/>
                <w:szCs w:val="1"/>
                <w:color w:val="auto"/>
              </w:rPr>
            </w:pPr>
          </w:p>
        </w:tc>
      </w:tr>
      <w:tr>
        <w:trPr>
          <w:trHeight w:val="234"/>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3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 or Acronym</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100" w:type="dxa"/>
            <w:vAlign w:val="bottom"/>
            <w:tcBorders>
              <w:top w:val="single" w:sz="8" w:color="CCEEFF"/>
            </w:tcBorders>
            <w:shd w:val="clear" w:color="auto" w:fill="CCEEFF"/>
          </w:tcPr>
          <w:p>
            <w:pPr>
              <w:spacing w:after="0"/>
              <w:rPr>
                <w:sz w:val="19"/>
                <w:szCs w:val="19"/>
                <w:color w:val="auto"/>
              </w:rPr>
            </w:pPr>
          </w:p>
        </w:tc>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or Unsecured Notes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refers to the 2029 Unsecured Notes, 2031 Unsecured Notes and 2033 Unsecured Notes, collectively</w:t>
            </w: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Shufflers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various models of automatic card shufflers, deck checkers and roulette chip sorters</w:t>
            </w: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r>
      <w:tr>
        <w:trPr>
          <w:trHeight w:val="22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jurisdictions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50 states in the U.S. plus the District of Columbia, U.S. Virgin Islands and Puerto Rico</w:t>
            </w:r>
          </w:p>
        </w:tc>
      </w:tr>
      <w:tr>
        <w:trPr>
          <w:trHeight w:val="23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VGT</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gaming terminal</w:t>
            </w:r>
          </w:p>
        </w:tc>
      </w:tr>
      <w:tr>
        <w:trPr>
          <w:trHeight w:val="22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VLT</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 lottery terminal</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notices signify marks registered in the United States. © 2026 Light &amp; Wonder, Inc. All Rights Reserved.</w:t>
      </w:r>
    </w:p>
    <w:p>
      <w:pPr>
        <w:spacing w:after="0" w:line="15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2026 Hasbro. All Rights Reserved. Licensed by Hasbro.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11"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our strategy;</w:t>
      </w:r>
    </w:p>
    <w:p>
      <w:pPr>
        <w:spacing w:after="0" w:line="63" w:lineRule="exact"/>
        <w:rPr>
          <w:rFonts w:ascii="Times New Roman" w:cs="Times New Roman" w:eastAsia="Times New Roman" w:hAnsi="Times New Roman"/>
          <w:sz w:val="18"/>
          <w:szCs w:val="18"/>
          <w:color w:val="auto"/>
        </w:rPr>
      </w:pPr>
    </w:p>
    <w:p>
      <w:pPr>
        <w:ind w:left="500" w:right="72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growth of new gaming jurisdictions, slow addition of casinos in existing jurisdictions and declines in the replacement cycle of gaming machines;</w:t>
      </w:r>
    </w:p>
    <w:p>
      <w:pPr>
        <w:spacing w:after="0" w:line="26" w:lineRule="exact"/>
        <w:rPr>
          <w:rFonts w:ascii="Times New Roman" w:cs="Times New Roman" w:eastAsia="Times New Roman" w:hAnsi="Times New Roman"/>
          <w:sz w:val="18"/>
          <w:szCs w:val="18"/>
          <w:color w:val="auto"/>
        </w:rPr>
      </w:pPr>
    </w:p>
    <w:p>
      <w:pPr>
        <w:ind w:left="500" w:right="44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foreign operations, including anti-corruption laws, fluctuations in currency rates, restrictions on the payment of dividends from earnings, restrictions on the import of products and financial instability;</w:t>
      </w:r>
    </w:p>
    <w:p>
      <w:pPr>
        <w:spacing w:after="0" w:line="13" w:lineRule="exact"/>
        <w:rPr>
          <w:rFonts w:ascii="Times New Roman" w:cs="Times New Roman" w:eastAsia="Times New Roman" w:hAnsi="Times New Roman"/>
          <w:sz w:val="18"/>
          <w:szCs w:val="18"/>
          <w:color w:val="auto"/>
        </w:rPr>
      </w:pPr>
    </w:p>
    <w:p>
      <w:pPr>
        <w:ind w:left="500" w:right="8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predicting what impact new or increased tariffs imposed, and other trade actions taken, by the U.S. and foreign jurisdictions could have on our business;</w:t>
      </w:r>
    </w:p>
    <w:p>
      <w:pPr>
        <w:spacing w:after="0" w:line="13" w:lineRule="exact"/>
        <w:rPr>
          <w:rFonts w:ascii="Times New Roman" w:cs="Times New Roman" w:eastAsia="Times New Roman" w:hAnsi="Times New Roman"/>
          <w:sz w:val="18"/>
          <w:szCs w:val="18"/>
          <w:color w:val="auto"/>
        </w:rPr>
      </w:pPr>
    </w:p>
    <w:p>
      <w:pPr>
        <w:ind w:left="500" w:right="70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international economic and industry conditions, including changes in consumer sentiment and discretionary spending, increases in benchmark interest rates and the effects of inflation;</w:t>
      </w:r>
    </w:p>
    <w:p>
      <w:pPr>
        <w:spacing w:after="0" w:line="2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response to environmental, social and governance (or “ESG”) issues;</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health epidemics, contagious disease outbreaks and public perception thereof;</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progress under, or the elimination of our share repurchase program;</w:t>
      </w:r>
    </w:p>
    <w:p>
      <w:pPr>
        <w:spacing w:after="0" w:line="90"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our indebtedness, higher interest rates, availability or adequacy of cash flows and liquidity to satisfy indebtedness, other obligations or future cash needs;</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to further reduce or refinance our indebtedness, or to achieve investment-grade level leverage profile;</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covenants in debt agreements, including those that could result in acceleration of the maturity of our indebtedness;</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win, retain or renew, or unfavorable revisions of, existing contracts, and the inability to enter into new contracts;</w:t>
      </w:r>
    </w:p>
    <w:p>
      <w:pPr>
        <w:spacing w:after="0" w:line="76" w:lineRule="exact"/>
        <w:rPr>
          <w:rFonts w:ascii="Times New Roman" w:cs="Times New Roman" w:eastAsia="Times New Roman" w:hAnsi="Times New Roman"/>
          <w:sz w:val="18"/>
          <w:szCs w:val="18"/>
          <w:color w:val="auto"/>
        </w:rPr>
      </w:pPr>
    </w:p>
    <w:p>
      <w:pPr>
        <w:ind w:left="500" w:right="32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of changes in U.K. gaming legislation, including any new or revised licensing and taxation regimes, responsible gambling requirements and/or sanctions on unlicensed providers;</w:t>
      </w:r>
    </w:p>
    <w:p>
      <w:pPr>
        <w:spacing w:after="0" w:line="26" w:lineRule="exact"/>
        <w:rPr>
          <w:rFonts w:ascii="Times New Roman" w:cs="Times New Roman" w:eastAsia="Times New Roman" w:hAnsi="Times New Roman"/>
          <w:sz w:val="18"/>
          <w:szCs w:val="18"/>
          <w:color w:val="auto"/>
        </w:rPr>
      </w:pPr>
    </w:p>
    <w:p>
      <w:pPr>
        <w:ind w:left="500" w:right="14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and offer products that keep pace with, evolving technology, including any failure of our investment of significant resources in our R&amp;D efforts;</w:t>
      </w:r>
    </w:p>
    <w:p>
      <w:pPr>
        <w:spacing w:after="0" w:line="13" w:lineRule="exact"/>
        <w:rPr>
          <w:rFonts w:ascii="Times New Roman" w:cs="Times New Roman" w:eastAsia="Times New Roman" w:hAnsi="Times New Roman"/>
          <w:sz w:val="18"/>
          <w:szCs w:val="18"/>
          <w:color w:val="auto"/>
        </w:rPr>
      </w:pPr>
    </w:p>
    <w:p>
      <w:pPr>
        <w:ind w:left="500" w:right="36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investments in artificial intelligence (“AI”) and infrastructure to achieve some or all of their intended benefits, including improved efficiency and growth, or the introduction of new or unforeseen risks by AI;</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and dependence on, key management and employees;</w:t>
      </w:r>
    </w:p>
    <w:p>
      <w:pPr>
        <w:spacing w:after="0" w:line="90" w:lineRule="exact"/>
        <w:rPr>
          <w:rFonts w:ascii="Times New Roman" w:cs="Times New Roman" w:eastAsia="Times New Roman" w:hAnsi="Times New Roman"/>
          <w:sz w:val="18"/>
          <w:szCs w:val="18"/>
          <w:color w:val="auto"/>
        </w:rPr>
      </w:pPr>
    </w:p>
    <w:p>
      <w:pPr>
        <w:ind w:left="500" w:right="80" w:hanging="330"/>
        <w:spacing w:after="0" w:line="266"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spacing w:after="0" w:line="2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and services;</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certain suppliers and manufacturers;</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SciPlay’s dependence on certain key providers;</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changes and consolidation in the gaming industry;</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due to seasonality and other factors;</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expected financial, operational and strategic benefits of the Grover acquisition;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both"/>
        <w:ind w:left="50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a sole primary listing on the ASX, which could negatively affect the liquidity and trading prices of our common stock or CDIs, impact our investors’ ability to trade in our securities and our access to the capital markets and could lead to price variations and other impacts on holders of our securities;</w:t>
      </w:r>
    </w:p>
    <w:p>
      <w:pPr>
        <w:spacing w:after="0" w:line="27" w:lineRule="exact"/>
        <w:rPr>
          <w:rFonts w:ascii="Times New Roman" w:cs="Times New Roman" w:eastAsia="Times New Roman" w:hAnsi="Times New Roman"/>
          <w:sz w:val="18"/>
          <w:szCs w:val="18"/>
          <w:color w:val="auto"/>
        </w:rPr>
      </w:pPr>
    </w:p>
    <w:p>
      <w:pPr>
        <w:ind w:left="500" w:right="120" w:hanging="330"/>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a sole primary listing on the ASX and remaining an SEC registrant, including significant compliance costs and risks of noncompliance;</w:t>
      </w:r>
    </w:p>
    <w:p>
      <w:pPr>
        <w:spacing w:after="0" w:line="2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integrity of our products and systems, including the impact of any security breaches or cyber-attacks;</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intellectual property, inability to license third-party intellectual property and the intellectual property rights of others;</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or failures in information technology and other systems;</w:t>
      </w:r>
    </w:p>
    <w:p>
      <w:pPr>
        <w:spacing w:after="0" w:line="90" w:lineRule="exact"/>
        <w:rPr>
          <w:rFonts w:ascii="Times New Roman" w:cs="Times New Roman" w:eastAsia="Times New Roman" w:hAnsi="Times New Roman"/>
          <w:sz w:val="18"/>
          <w:szCs w:val="18"/>
          <w:color w:val="auto"/>
        </w:rPr>
      </w:pPr>
    </w:p>
    <w:p>
      <w:pPr>
        <w:ind w:left="500" w:right="460" w:hanging="330"/>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technological blocking systems;</w:t>
      </w:r>
    </w:p>
    <w:p>
      <w:pPr>
        <w:spacing w:after="0" w:line="76" w:lineRule="exact"/>
        <w:rPr>
          <w:rFonts w:ascii="Times New Roman" w:cs="Times New Roman" w:eastAsia="Times New Roman" w:hAnsi="Times New Roman"/>
          <w:sz w:val="18"/>
          <w:szCs w:val="18"/>
          <w:color w:val="auto"/>
        </w:rPr>
      </w:pPr>
    </w:p>
    <w:p>
      <w:pPr>
        <w:ind w:left="500" w:right="120" w:hanging="330"/>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or disruptions relating to the completion of the domestic migration of, and acquisition integrations into, our enterprise resource planning system;</w:t>
      </w:r>
    </w:p>
    <w:p>
      <w:pPr>
        <w:spacing w:after="0" w:line="26" w:lineRule="exact"/>
        <w:rPr>
          <w:rFonts w:ascii="Times New Roman" w:cs="Times New Roman" w:eastAsia="Times New Roman" w:hAnsi="Times New Roman"/>
          <w:sz w:val="18"/>
          <w:szCs w:val="18"/>
          <w:color w:val="auto"/>
        </w:rPr>
      </w:pPr>
    </w:p>
    <w:p>
      <w:pPr>
        <w:jc w:val="both"/>
        <w:ind w:left="500" w:right="360" w:hanging="330"/>
        <w:spacing w:after="0" w:line="289"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government regulations and new or increased trade tariffs,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spacing w:after="0" w:line="9" w:lineRule="exact"/>
        <w:rPr>
          <w:rFonts w:ascii="Times New Roman" w:cs="Times New Roman" w:eastAsia="Times New Roman" w:hAnsi="Times New Roman"/>
          <w:sz w:val="17"/>
          <w:szCs w:val="17"/>
          <w:color w:val="auto"/>
        </w:rPr>
      </w:pPr>
    </w:p>
    <w:p>
      <w:pPr>
        <w:ind w:left="500" w:right="340" w:hanging="330"/>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interpretation and enforcement, regulatory perception and regulatory risks with respect to gaming, including Internet wagering, social gaming, prediction markets and sweepstakes;</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or the examination of our tax positions;</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to legalized gaming or the expansion of such opposition and potential restrictions;</w:t>
      </w:r>
    </w:p>
    <w:p>
      <w:pPr>
        <w:spacing w:after="0" w:line="76" w:lineRule="exact"/>
        <w:rPr>
          <w:rFonts w:ascii="Times New Roman" w:cs="Times New Roman" w:eastAsia="Times New Roman" w:hAnsi="Times New Roman"/>
          <w:sz w:val="18"/>
          <w:szCs w:val="18"/>
          <w:color w:val="auto"/>
        </w:rPr>
      </w:pPr>
    </w:p>
    <w:p>
      <w:pPr>
        <w:ind w:left="500" w:hanging="330"/>
        <w:spacing w:after="0" w:line="26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3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the shift to regulated digital gaming;</w:t>
      </w:r>
    </w:p>
    <w:p>
      <w:pPr>
        <w:spacing w:after="0" w:line="90" w:lineRule="exact"/>
        <w:rPr>
          <w:rFonts w:ascii="Times New Roman" w:cs="Times New Roman" w:eastAsia="Times New Roman" w:hAnsi="Times New Roman"/>
          <w:sz w:val="18"/>
          <w:szCs w:val="18"/>
          <w:color w:val="auto"/>
        </w:rPr>
      </w:pPr>
    </w:p>
    <w:p>
      <w:pPr>
        <w:ind w:left="500" w:right="140" w:hanging="330"/>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successful products and services and capitalize on trends and changes in our industries, including the expansion of Internet and other forms of digital gaming;</w:t>
      </w:r>
    </w:p>
    <w:p>
      <w:pPr>
        <w:spacing w:after="0" w:line="13" w:lineRule="exact"/>
        <w:rPr>
          <w:rFonts w:ascii="Times New Roman" w:cs="Times New Roman" w:eastAsia="Times New Roman" w:hAnsi="Times New Roman"/>
          <w:sz w:val="18"/>
          <w:szCs w:val="18"/>
          <w:color w:val="auto"/>
        </w:rPr>
      </w:pPr>
    </w:p>
    <w:p>
      <w:pPr>
        <w:ind w:left="500" w:right="100" w:hanging="330"/>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scope of data privacy and security regulations, and our belief that the adoption of increasingly restrictive regulations in this area is likely within the U.S. and globally;</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restructuring costs;</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charges, including changes in estimates or judgments related to our impairment analysis of goodwill or other intangible assets;</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adequate internal control over financial reporting;</w:t>
      </w:r>
    </w:p>
    <w:p>
      <w:pPr>
        <w:spacing w:after="0" w:line="90"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including natural disasters, extreme weather and other natural events related to climate change, that disrupt our operations, or those of our customers, suppliers or regulators; and</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growth in total consumer spending on social casino gaming.</w:t>
      </w:r>
    </w:p>
    <w:p>
      <w:pPr>
        <w:spacing w:after="0" w:line="15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Additional information regarding risks and uncertainties and other factors that could cause actual results to differ materially from those contemplated in forward-looking statements is included from time to time in our filings with the SEC and lodgements with the ASX, including under the heading “Risk Factors” in </w:t>
      </w:r>
      <w:r>
        <w:rPr>
          <w:rFonts w:ascii="Times New Roman" w:cs="Times New Roman" w:eastAsia="Times New Roman" w:hAnsi="Times New Roman"/>
          <w:sz w:val="18"/>
          <w:szCs w:val="18"/>
          <w:i w:val="1"/>
          <w:iCs w:val="1"/>
          <w:color w:val="auto"/>
        </w:rPr>
        <w:t>Part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of this Quarterly Report on Form 10-Q and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in our 2025 10-K. Forward-looking statements speak only as of the date they are made and, except for our ongoing obligations under the U.S. federal securities laws and ASX Listing Rules, we undertake no, and expressly disclaim any, obligation to publicly update any forward-looking statements whether as a result of new information, future events or otherwise.</w:t>
      </w:r>
    </w:p>
    <w:p>
      <w:pPr>
        <w:spacing w:after="0" w:line="10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You should also note that this Quarterly Report on Form 10-Q may contain references to industry market data and certain industry forecasts. Industry market data and industry forecasts are obtained from publicly available information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t>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charitable gaming, social and digital gaming industries than the same industries in the U.S.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rounding, certain numbers presented herein may not precisely recalculate. Unless otherwise stated, ‘$’ denotes U.S. dollars.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91" w:right="5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52" w:lineRule="exact"/>
        <w:rPr>
          <w:sz w:val="20"/>
          <w:szCs w:val="20"/>
          <w:color w:val="auto"/>
        </w:rPr>
      </w:pPr>
    </w:p>
    <w:p>
      <w:pPr>
        <w:ind w:right="5040"/>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Light &amp; Wonder, Inc. </w:t>
      </w:r>
      <w:r>
        <w:rPr>
          <w:rFonts w:ascii="Times New Roman" w:cs="Times New Roman" w:eastAsia="Times New Roman" w:hAnsi="Times New Roman"/>
          <w:sz w:val="18"/>
          <w:szCs w:val="18"/>
          <w:b w:val="1"/>
          <w:bCs w:val="1"/>
          <w:color w:val="auto"/>
        </w:rPr>
        <w:t>Results of Review of Interim Financial Information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reviewed the accompanying consolidated balance sheet of Light &amp; Wonder, Inc. and subsidiaries (the "Company") as of September 30, 2026,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and consolidated statements of comprehensive income for the three-month and nine-month periods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2026 and 2025, the condensed consolidated statement of cash flows for the nine-month periods ended September 30, 2026 and 2025, and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notes (collectively referred to as the "interim financial information"). Based on our reviews, we are not aware of any material modifications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made to the accompanying interim financial information for it to be in conformity with accounting principles generally accepted in the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of America.</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December 31, 2025, and the related statements of operations, comprehensive income, stockholders’ equity, and cash flows for the year then ended (not presented herein); and in our report dated February 24,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2026</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580" w:type="dxa"/>
            <w:vAlign w:val="bottom"/>
            <w:gridSpan w:val="4"/>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7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7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57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Cost of products</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other</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196"/>
        </w:trPr>
        <w:tc>
          <w:tcPr>
            <w:tcW w:w="572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auto"/>
            </w:tcBorders>
          </w:tcPr>
          <w:p>
            <w:pPr>
              <w:jc w:val="right"/>
              <w:ind w:right="6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291</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5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net income per share:</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56"/>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0"/>
        </w:trPr>
        <w:tc>
          <w:tcPr>
            <w:tcW w:w="5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used in per share calculations:</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6"/>
        </w:trPr>
        <w:tc>
          <w:tcPr>
            <w:tcW w:w="5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 shares</w:t>
            </w: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47"/>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 shares</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188"/>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 Excludes D&amp;A.</w:t>
            </w: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14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5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7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8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 unrealized (loss) gain, net of tax</w:t>
            </w:r>
          </w:p>
        </w:tc>
        <w:tc>
          <w:tcPr>
            <w:tcW w:w="8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(10)</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412</w:t>
            </w:r>
          </w:p>
        </w:tc>
      </w:tr>
      <w:tr>
        <w:trPr>
          <w:trHeight w:val="21"/>
        </w:trPr>
        <w:tc>
          <w:tcPr>
            <w:tcW w:w="5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80" w:type="dxa"/>
            <w:vAlign w:val="bottom"/>
            <w:tcBorders>
              <w:bottom w:val="single" w:sz="8" w:color="auto"/>
            </w:tcBorders>
          </w:tcPr>
          <w:p>
            <w:pPr>
              <w:spacing w:after="0"/>
              <w:rPr>
                <w:sz w:val="18"/>
                <w:szCs w:val="18"/>
                <w:color w:val="auto"/>
              </w:rPr>
            </w:pPr>
          </w:p>
        </w:tc>
      </w:tr>
      <w:tr>
        <w:trPr>
          <w:trHeight w:val="211"/>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178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7080" w:type="dxa"/>
            <w:vAlign w:val="bottom"/>
            <w:tcBorders>
              <w:top w:val="single" w:sz="8" w:color="CCEEFF"/>
            </w:tcBorders>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credit losses of $26 and $29, respectively</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deposits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credit losses of $3 and $2, respectively</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net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8"/>
        </w:trPr>
        <w:tc>
          <w:tcPr>
            <w:tcW w:w="7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r>
      <w:tr>
        <w:trPr>
          <w:trHeight w:val="20"/>
        </w:trPr>
        <w:tc>
          <w:tcPr>
            <w:tcW w:w="91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r>
        <w:trPr>
          <w:trHeight w:val="163"/>
        </w:trPr>
        <w:tc>
          <w:tcPr>
            <w:tcW w:w="70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r>
      <w:tr>
        <w:trPr>
          <w:trHeight w:val="229"/>
        </w:trPr>
        <w:tc>
          <w:tcPr>
            <w:tcW w:w="9220" w:type="dxa"/>
            <w:vAlign w:val="bottom"/>
            <w:gridSpan w:val="4"/>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30"/>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2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0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par value $0.001 per share, 199.0 shares authorized; 77.0 and 118.6 shares</w:t>
            </w: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issued, respectively, and 76.3 and 77.1 shares outstanding, respectively</w:t>
            </w: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30"/>
        </w:trPr>
        <w:tc>
          <w:tcPr>
            <w:tcW w:w="70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Treasury stock, at cost, 0.7 and 41.5 shares, respectively</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7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r>
    </w:tbl>
    <w:p>
      <w:pPr>
        <w:ind w:left="20" w:right="40" w:firstLine="6"/>
        <w:spacing w:after="0" w:line="234" w:lineRule="auto"/>
        <w:tabs>
          <w:tab w:leader="none" w:pos="2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issued as of September 30, 2026 include 0.7 million of CDIs held in trust by our equity plan administrator, reserved for future issuance upon the vesting or exercise of Company equity awards. Treasury stock, at cost, as of September 30, 2026 reflects these same CDIs held in trust, which are excluded from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-189865</wp:posOffset>
            </wp:positionV>
            <wp:extent cx="26403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2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00" w:type="dxa"/>
            <w:vAlign w:val="bottom"/>
            <w:tcBorders>
              <w:bottom w:val="single" w:sz="8" w:color="auto"/>
            </w:tcBorders>
          </w:tcPr>
          <w:p>
            <w:pPr>
              <w:spacing w:after="0"/>
              <w:rPr>
                <w:sz w:val="18"/>
                <w:szCs w:val="18"/>
                <w:color w:val="auto"/>
              </w:rPr>
            </w:pPr>
          </w:p>
        </w:tc>
      </w:tr>
      <w:tr>
        <w:trPr>
          <w:trHeight w:val="211"/>
        </w:trPr>
        <w:tc>
          <w:tcPr>
            <w:tcW w:w="7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132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accounts, excluding the effects of acquisition</w:t>
            </w:r>
          </w:p>
        </w:tc>
        <w:tc>
          <w:tcPr>
            <w:tcW w:w="1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Acquisitions of businesses and assets, net of cash acquired and other</w:t>
            </w:r>
          </w:p>
        </w:tc>
        <w:tc>
          <w:tcPr>
            <w:tcW w:w="1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under revolving credit facility</w:t>
            </w:r>
          </w:p>
        </w:tc>
        <w:tc>
          <w:tcPr>
            <w:tcW w:w="1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senior notes and term loans</w:t>
            </w:r>
          </w:p>
        </w:tc>
        <w:tc>
          <w:tcPr>
            <w:tcW w:w="1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29"/>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notes (including redemption premium)</w:t>
            </w:r>
          </w:p>
        </w:tc>
        <w:tc>
          <w:tcPr>
            <w:tcW w:w="14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debt issuance and deferred financing costs</w:t>
            </w:r>
          </w:p>
        </w:tc>
        <w:tc>
          <w:tcPr>
            <w:tcW w:w="1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license obligations</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contingent acquisition consideration</w:t>
            </w:r>
          </w:p>
        </w:tc>
        <w:tc>
          <w:tcPr>
            <w:tcW w:w="14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L&amp;W common stock</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L&amp;W common stock held in trust for stock-based compensation plans</w:t>
            </w:r>
          </w:p>
        </w:tc>
        <w:tc>
          <w:tcPr>
            <w:tcW w:w="1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redemptions of common stock under stock-based compensation plans and other</w:t>
            </w:r>
          </w:p>
        </w:tc>
        <w:tc>
          <w:tcPr>
            <w:tcW w:w="14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4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1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4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196"/>
        </w:trPr>
        <w:tc>
          <w:tcPr>
            <w:tcW w:w="71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400" w:type="dxa"/>
            <w:vAlign w:val="bottom"/>
            <w:tcBorders>
              <w:bottom w:val="single" w:sz="8" w:color="auto"/>
            </w:tcBorders>
          </w:tcPr>
          <w:p>
            <w:pPr>
              <w:jc w:val="right"/>
              <w:ind w:right="1193"/>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1112"/>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329</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7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1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29"/>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32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transactions:</w:t>
            </w: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0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17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color w:val="auto"/>
        </w:rPr>
        <w:t>LIGHT &amp; WONDER, INC. AND SUBSIDIARIES NOTES TO CONDENSED CONSOLIDATED FINANCIAL STATEMENTS (Unaudited, amounts in USD, table amounts in millions, except per share amounts)</w:t>
      </w:r>
    </w:p>
    <w:p>
      <w:pPr>
        <w:spacing w:after="0" w:line="319" w:lineRule="exact"/>
        <w:rPr>
          <w:sz w:val="20"/>
          <w:szCs w:val="20"/>
          <w:color w:val="auto"/>
        </w:rPr>
      </w:pPr>
    </w:p>
    <w:p>
      <w:pPr>
        <w:ind w:right="51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(1) Description of the Business and Summary of Significant Accounting Policies </w:t>
      </w:r>
      <w:r>
        <w:rPr>
          <w:rFonts w:ascii="Times New Roman" w:cs="Times New Roman" w:eastAsia="Times New Roman" w:hAnsi="Times New Roman"/>
          <w:sz w:val="18"/>
          <w:szCs w:val="18"/>
          <w:i w:val="1"/>
          <w:iCs w:val="1"/>
          <w:color w:val="auto"/>
        </w:rPr>
        <w:t>Description of the Business</w:t>
      </w: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and electronic pull tabs and related services to charitable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 We report our results of operations in three reportable business segments—Gaming, SciPlay and iGaming—representing our different products and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6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GAAP and include the accounts of L&amp;W, its wholly owned subsidiaries and those subsidiaries in which we have a controlling financial interest. All intercompany balances and transactions have been eliminated in consolidation.</w:t>
      </w:r>
    </w:p>
    <w:p>
      <w:pPr>
        <w:spacing w:after="0" w:line="9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the opinion of L&amp;W and its management, we have made all adjustments necessary to present fairly our condensed consolidated financial position, results of operations, comprehensive income and cash flows for the periods presented. Such adjustments are of a normal, recurring nature. These unaudited condensed consolidated financial statements should be read in conjunction with the consolidated financial statements and related notes included in our 2025 10-K. Interim results of operations are not necessarily indicative of results of operations to be expected for a full year.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6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to our significant accounting policies described within the Notes of our 2025 10-K, other than those related to internal-use capitalized software costs as described in Note 9.</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Grover</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May 16, 2025, we completed the acquisition of Grover for an upfront consideration of $850 million, subject to certain customary purchase price adjustments as set forth in the purchase agreement, and up to $200 million in cash in the aggregate in the form of contingent acquisition consideration payments based on achievement of certain revenue metrics over a four-year period. Grover is a leading provider of electronic pull tabs currently distributed over six U.S. states: North Dakota, Ohio, Virginia, Kentucky, New Hampshire and Indiana (since December 2025).</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Grover operating segment has been aggregated with our Gaming reportable business segment.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 of Basic and Diluted Net Income Per Share</w:t>
      </w:r>
    </w:p>
    <w:p>
      <w:pPr>
        <w:spacing w:after="0" w:line="16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Basic and diluted net income per share are based upon net income divided by the weighted average number of common shares outstanding during the period. Diluted net income per share reflects the effect of the assumed exercise of stock options and vesting of RSUs only in the periods in which such effect would have been dilutive to net income. For the three and nine months ended September 30, 2026, we included 1.1 million and 1.3 million, respectively, of common stock equivalents in the calculation of diluted net income per share. For the three and nine months ended September 30, 2025, we included 1.5 million and 1.6 million, respectively, of common stock equivalents in the calculation of diluted net income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 - Adopted</w:t>
      </w:r>
    </w:p>
    <w:p>
      <w:pPr>
        <w:spacing w:after="0" w:line="14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under Subtopic 350-40,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The new guidance aims to modernize the accounting for internal-use capitalized software costs and removes all references to prescriptive and sequential software development stages (referred to as “project stages”) throughout Subtopic 350-40. An entity is therefore required to start capitalizing internal-use software costs when management has authorized and committed to funding the software project, and when it is probable that the project will be completed and the software will be used to perform the function intended (the “probable-to-complete” recognition threshold). We adopted this guidance as of January 1, 2026, and it did not have a material impact on our consolidated financial statements.</w:t>
      </w:r>
    </w:p>
    <w:p>
      <w:pPr>
        <w:spacing w:after="0" w:line="11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Entities</w:t>
      </w:r>
      <w:r>
        <w:rPr>
          <w:rFonts w:ascii="Times New Roman" w:cs="Times New Roman" w:eastAsia="Times New Roman" w:hAnsi="Times New Roman"/>
          <w:sz w:val="18"/>
          <w:szCs w:val="18"/>
          <w:color w:val="auto"/>
        </w:rPr>
        <w:t>. This update establishes an authoritative recognition, measurement, and presentation model generally based on the principles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Accounting Standard 20. Under the guidance, a government grant is not recognized until it is probable that (i) the entity will comply with the conditions attached to the grant and (ii) the grant will be received. The amendments are effective for annual periods beginning after December 15, 2028, including interim periods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ind w:right="60"/>
        <w:spacing w:after="0" w:line="261" w:lineRule="auto"/>
        <w:rPr>
          <w:sz w:val="20"/>
          <w:szCs w:val="20"/>
          <w:color w:val="auto"/>
        </w:rPr>
      </w:pPr>
      <w:r>
        <w:rPr>
          <w:rFonts w:ascii="Times New Roman" w:cs="Times New Roman" w:eastAsia="Times New Roman" w:hAnsi="Times New Roman"/>
          <w:sz w:val="18"/>
          <w:szCs w:val="18"/>
          <w:color w:val="auto"/>
        </w:rPr>
        <w:t>within those annual periods, with early adoption permitted. We early adopted ASU 2025-10 effective January 1, 2026, using the modified prospective transition method, under which the guidance applies to government grants that are not complete as of the effective date and to grants entered into on or after that date. We adopted the guidance early because it codifies an authoritative recognition and measurement model for government grants, replacing the application of other frameworks by analogy. Adoption did not have a material impact on our consolidated financial statements.</w:t>
      </w:r>
    </w:p>
    <w:p>
      <w:pPr>
        <w:spacing w:after="0" w:line="11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recent accounting pronouncements or changes in accounting pronouncements since those described within Note 1 of our 2025 10-K that are expected to have a material impact on our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our revenues by type within each of our reportable business segments: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4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operations</w:t>
            </w:r>
          </w:p>
        </w:tc>
        <w:tc>
          <w:tcPr>
            <w:tcW w:w="11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12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9"/>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Gaming machine sales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9"/>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systems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Table products</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4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SciPlay</w:t>
            </w: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44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Third-party platforms and other</w:t>
            </w:r>
            <w:r>
              <w:rPr>
                <w:rFonts w:ascii="Times New Roman" w:cs="Times New Roman" w:eastAsia="Times New Roman" w:hAnsi="Times New Roman"/>
                <w:sz w:val="23"/>
                <w:szCs w:val="23"/>
                <w:color w:val="auto"/>
                <w:vertAlign w:val="superscript"/>
              </w:rPr>
              <w:t>(1)</w:t>
            </w:r>
          </w:p>
        </w:tc>
        <w:tc>
          <w:tcPr>
            <w:tcW w:w="11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2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Direct-to-consumer platforms</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iGaming</w:t>
            </w:r>
          </w:p>
        </w:tc>
        <w:tc>
          <w:tcPr>
            <w:tcW w:w="114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bl>
    <w:p>
      <w:pPr>
        <w:ind w:left="20"/>
        <w:spacing w:after="0"/>
        <w:rPr>
          <w:sz w:val="20"/>
          <w:szCs w:val="20"/>
          <w:color w:val="auto"/>
        </w:rPr>
      </w:pPr>
      <w:r>
        <w:rPr>
          <w:rFonts w:ascii="Times New Roman" w:cs="Times New Roman" w:eastAsia="Times New Roman" w:hAnsi="Times New Roman"/>
          <w:sz w:val="14"/>
          <w:szCs w:val="14"/>
          <w:color w:val="auto"/>
        </w:rPr>
        <w:t>(1) Other primarily represents advertising revenue, which was not material for the periods presented.</w:t>
      </w:r>
    </w:p>
    <w:p>
      <w:pPr>
        <w:spacing w:after="0" w:line="25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amount of rental income revenue included in services revenue within the consolidated statement of operations that is outside the scope of ASC 606 was $168 million and $487 million for the three and nine months ended September 30, 2026, respectively, and $160 million and $449 million for the three and nine months ended September 30, 2025,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 and Other Disclosures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in our contract liabilities for the reporting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r>
      <w:tr>
        <w:trPr>
          <w:trHeight w:val="226"/>
        </w:trPr>
        <w:tc>
          <w:tcPr>
            <w:tcW w:w="78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Contract liability balance, beginning of period</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3200" w:type="dxa"/>
            <w:vAlign w:val="bottom"/>
            <w:shd w:val="clear" w:color="auto" w:fill="CCEEFF"/>
          </w:tcPr>
          <w:p>
            <w:pPr>
              <w:jc w:val="center"/>
              <w:ind w:left="2772"/>
              <w:spacing w:after="0"/>
              <w:rPr>
                <w:sz w:val="20"/>
                <w:szCs w:val="20"/>
                <w:color w:val="auto"/>
              </w:rPr>
            </w:pPr>
            <w:r>
              <w:rPr>
                <w:rFonts w:ascii="Times New Roman" w:cs="Times New Roman" w:eastAsia="Times New Roman" w:hAnsi="Times New Roman"/>
                <w:sz w:val="18"/>
                <w:szCs w:val="18"/>
                <w:color w:val="auto"/>
                <w:w w:val="99"/>
              </w:rPr>
              <w:t>28</w:t>
            </w: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recognized during the period</w:t>
            </w:r>
          </w:p>
        </w:tc>
        <w:tc>
          <w:tcPr>
            <w:tcW w:w="200" w:type="dxa"/>
            <w:vAlign w:val="bottom"/>
          </w:tcPr>
          <w:p>
            <w:pPr>
              <w:spacing w:after="0"/>
              <w:rPr>
                <w:sz w:val="19"/>
                <w:szCs w:val="19"/>
                <w:color w:val="auto"/>
              </w:rPr>
            </w:pPr>
          </w:p>
        </w:tc>
        <w:tc>
          <w:tcPr>
            <w:tcW w:w="3200" w:type="dxa"/>
            <w:vAlign w:val="bottom"/>
          </w:tcPr>
          <w:p>
            <w:pPr>
              <w:jc w:val="center"/>
              <w:ind w:left="2772"/>
              <w:spacing w:after="0"/>
              <w:rPr>
                <w:sz w:val="20"/>
                <w:szCs w:val="20"/>
                <w:color w:val="auto"/>
              </w:rPr>
            </w:pPr>
            <w:r>
              <w:rPr>
                <w:rFonts w:ascii="Times New Roman" w:cs="Times New Roman" w:eastAsia="Times New Roman" w:hAnsi="Times New Roman"/>
                <w:sz w:val="18"/>
                <w:szCs w:val="18"/>
                <w:color w:val="auto"/>
                <w:w w:val="99"/>
              </w:rPr>
              <w:t>10</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recognized in revenue from beginning balance</w:t>
            </w:r>
          </w:p>
        </w:tc>
        <w:tc>
          <w:tcPr>
            <w:tcW w:w="200" w:type="dxa"/>
            <w:vAlign w:val="bottom"/>
            <w:tcBorders>
              <w:bottom w:val="single" w:sz="8" w:color="auto"/>
            </w:tcBorders>
            <w:shd w:val="clear" w:color="auto" w:fill="CCEEFF"/>
          </w:tcPr>
          <w:p>
            <w:pPr>
              <w:spacing w:after="0"/>
              <w:rPr>
                <w:sz w:val="19"/>
                <w:szCs w:val="19"/>
                <w:color w:val="auto"/>
              </w:rPr>
            </w:pPr>
          </w:p>
        </w:tc>
        <w:tc>
          <w:tcPr>
            <w:tcW w:w="3200" w:type="dxa"/>
            <w:vAlign w:val="bottom"/>
            <w:tcBorders>
              <w:bottom w:val="single" w:sz="8" w:color="auto"/>
            </w:tcBorders>
            <w:shd w:val="clear" w:color="auto" w:fill="CCEEFF"/>
          </w:tcPr>
          <w:p>
            <w:pPr>
              <w:jc w:val="center"/>
              <w:ind w:left="2732"/>
              <w:spacing w:after="0"/>
              <w:rPr>
                <w:sz w:val="20"/>
                <w:szCs w:val="20"/>
                <w:color w:val="auto"/>
              </w:rPr>
            </w:pPr>
            <w:r>
              <w:rPr>
                <w:rFonts w:ascii="Times New Roman" w:cs="Times New Roman" w:eastAsia="Times New Roman" w:hAnsi="Times New Roman"/>
                <w:sz w:val="18"/>
                <w:szCs w:val="18"/>
                <w:color w:val="auto"/>
                <w:w w:val="99"/>
              </w:rPr>
              <w:t>(14)</w:t>
            </w:r>
          </w:p>
        </w:tc>
      </w:tr>
      <w:tr>
        <w:trPr>
          <w:trHeight w:val="223"/>
        </w:trPr>
        <w:tc>
          <w:tcPr>
            <w:tcW w:w="78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Contract liability balance, end of period</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3200" w:type="dxa"/>
            <w:vAlign w:val="bottom"/>
            <w:tcBorders>
              <w:bottom w:val="single" w:sz="8" w:color="auto"/>
            </w:tcBorders>
          </w:tcPr>
          <w:p>
            <w:pPr>
              <w:jc w:val="center"/>
              <w:ind w:left="2772"/>
              <w:spacing w:after="0"/>
              <w:rPr>
                <w:sz w:val="20"/>
                <w:szCs w:val="20"/>
                <w:color w:val="auto"/>
              </w:rPr>
            </w:pPr>
            <w:r>
              <w:rPr>
                <w:rFonts w:ascii="Times New Roman" w:cs="Times New Roman" w:eastAsia="Times New Roman" w:hAnsi="Times New Roman"/>
                <w:sz w:val="18"/>
                <w:szCs w:val="18"/>
                <w:color w:val="auto"/>
                <w:w w:val="99"/>
              </w:rPr>
              <w:t>24</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liabilities are included within Accrued liabilities and Other long-term liabilities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-86995</wp:posOffset>
            </wp:positionV>
            <wp:extent cx="21602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4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balances in these accounts for the periods indicated (other than contract liabilities disclosed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Contract Assets</w:t>
            </w:r>
            <w:r>
              <w:rPr>
                <w:rFonts w:ascii="Times New Roman" w:cs="Times New Roman" w:eastAsia="Times New Roman" w:hAnsi="Times New Roman"/>
                <w:sz w:val="21"/>
                <w:szCs w:val="21"/>
                <w:b w:val="1"/>
                <w:bCs w:val="1"/>
                <w:color w:val="auto"/>
                <w:vertAlign w:val="superscript"/>
              </w:rPr>
              <w:t>(1)</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balance</w:t>
            </w:r>
          </w:p>
        </w:tc>
        <w:tc>
          <w:tcPr>
            <w:tcW w:w="2080" w:type="dxa"/>
            <w:vAlign w:val="bottom"/>
            <w:shd w:val="clear" w:color="auto" w:fill="CCEEFF"/>
          </w:tcPr>
          <w:p>
            <w:pPr>
              <w:jc w:val="right"/>
              <w:ind w:right="18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balance, September 30, 2026</w:t>
            </w:r>
          </w:p>
        </w:tc>
        <w:tc>
          <w:tcPr>
            <w:tcW w:w="2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assets are included primarily within Prepaid expenses, deposits and other current assets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we did not have material unsatisfied performance obligations for contracts expected to be long-term or contracts for which we recognize revenue at an amount other than that for which we have the right to invoice for goods or services delivered or performed.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Reportable Segments</w:t>
      </w:r>
    </w:p>
    <w:p>
      <w:pPr>
        <w:spacing w:after="0" w:line="14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report our operations in three reportable business segments—Gaming, SciPlay and iGaming—representing our different products and services. A detailed discussion regarding the products and services from which each reportable business segment derives its revenue is included in Notes 2 and 3 in our 2025 10-K.</w:t>
      </w:r>
    </w:p>
    <w:p>
      <w:pPr>
        <w:spacing w:after="0" w:line="108"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evaluating financial performance, our Chief Operating Decision Maker (“CODM,” defined as our Chief Executive Officer) focuses on AEBITDA as management’s primary segment measure of profit or loss, which is described in footnote (4) to the below table. Our CODM uses reportable business segment AEBITDA to allocate resources, including capital and personnel, among the reportable business segments in the annual budgeting and forecasting process and to assess segment performance, primarily by comparing actual results to budget, forecast and prior periods. Additionally, AEBITDA is one of the key metrics used in our incentive compensation program. The accounting policies for our reportable segments are the same as those described within the Notes in our 2025 10-K. The following tables present our reportable segment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280" w:type="dxa"/>
            <w:vAlign w:val="bottom"/>
          </w:tcPr>
          <w:p>
            <w:pPr>
              <w:spacing w:after="0"/>
              <w:rPr>
                <w:sz w:val="13"/>
                <w:szCs w:val="13"/>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20" w:type="dxa"/>
            <w:vAlign w:val="bottom"/>
          </w:tcPr>
          <w:p>
            <w:pPr>
              <w:spacing w:after="0"/>
              <w:rPr>
                <w:sz w:val="13"/>
                <w:szCs w:val="13"/>
                <w:color w:val="auto"/>
              </w:rPr>
            </w:pPr>
          </w:p>
        </w:tc>
        <w:tc>
          <w:tcPr>
            <w:tcW w:w="1320" w:type="dxa"/>
            <w:vAlign w:val="bottom"/>
          </w:tcPr>
          <w:p>
            <w:pPr>
              <w:jc w:val="right"/>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Total Reportable</w:t>
            </w:r>
          </w:p>
        </w:tc>
        <w:tc>
          <w:tcPr>
            <w:tcW w:w="0" w:type="dxa"/>
            <w:vAlign w:val="bottom"/>
          </w:tcPr>
          <w:p>
            <w:pPr>
              <w:spacing w:after="0"/>
              <w:rPr>
                <w:sz w:val="1"/>
                <w:szCs w:val="1"/>
                <w:color w:val="auto"/>
              </w:rPr>
            </w:pPr>
          </w:p>
        </w:tc>
      </w:tr>
      <w:tr>
        <w:trPr>
          <w:trHeight w:val="214"/>
        </w:trPr>
        <w:tc>
          <w:tcPr>
            <w:tcW w:w="5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23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97</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Payroll and related</w:t>
            </w:r>
            <w:r>
              <w:rPr>
                <w:rFonts w:ascii="Times New Roman" w:cs="Times New Roman" w:eastAsia="Times New Roman" w:hAnsi="Times New Roman"/>
                <w:sz w:val="23"/>
                <w:szCs w:val="23"/>
                <w:color w:val="auto"/>
                <w:vertAlign w:val="superscript"/>
              </w:rPr>
              <w:t>(2)</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reconciling items</w:t>
            </w:r>
            <w:r>
              <w:rPr>
                <w:rFonts w:ascii="Times New Roman" w:cs="Times New Roman" w:eastAsia="Times New Roman" w:hAnsi="Times New Roman"/>
                <w:sz w:val="23"/>
                <w:szCs w:val="23"/>
                <w:color w:val="auto"/>
                <w:vertAlign w:val="superscript"/>
              </w:rPr>
              <w:t>(3)</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3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140"/>
              <w:spacing w:after="0" w:line="23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(4)</w:t>
            </w: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ectPr>
          <w:pgSz w:w="11900" w:h="16838" w:orient="portrait"/>
          <w:cols w:equalWidth="0" w:num="1">
            <w:col w:w="11240"/>
          </w:cols>
          <w:pgMar w:left="320" w:top="891"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and other unallocated costs</w:t>
      </w:r>
      <w:r>
        <w:rPr>
          <w:rFonts w:ascii="Times New Roman" w:cs="Times New Roman" w:eastAsia="Times New Roman" w:hAnsi="Times New Roman"/>
          <w:sz w:val="22"/>
          <w:szCs w:val="22"/>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D&amp;A</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income before income taxes</w:t>
      </w:r>
    </w:p>
    <w:p>
      <w:pPr>
        <w:spacing w:after="0" w:line="72" w:lineRule="exact"/>
        <w:rPr>
          <w:sz w:val="20"/>
          <w:szCs w:val="20"/>
          <w:color w:val="auto"/>
        </w:rPr>
      </w:pPr>
    </w:p>
    <w:p>
      <w:pPr>
        <w:ind w:left="220" w:hanging="194"/>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stock-based compensation.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(33)</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(105)</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w:t>
      </w:r>
    </w:p>
    <w:p>
      <w:pPr>
        <w:spacing w:after="0" w:line="4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(24)</w:t>
      </w:r>
    </w:p>
    <w:p>
      <w:pPr>
        <w:spacing w:after="0" w:line="36" w:lineRule="exact"/>
        <w:rPr>
          <w:sz w:val="20"/>
          <w:szCs w:val="20"/>
          <w:color w:val="auto"/>
        </w:rPr>
      </w:pPr>
    </w:p>
    <w:p>
      <w:pPr>
        <w:ind w:left="1080" w:hanging="107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9086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477" w:lineRule="exact"/>
        <w:rPr>
          <w:sz w:val="20"/>
          <w:szCs w:val="20"/>
          <w:color w:val="auto"/>
        </w:rPr>
      </w:pPr>
    </w:p>
    <w:p>
      <w:pPr>
        <w:sectPr>
          <w:pgSz w:w="11900" w:h="16838" w:orient="portrait"/>
          <w:cols w:equalWidth="0" w:num="2">
            <w:col w:w="9100" w:space="720"/>
            <w:col w:w="1420"/>
          </w:cols>
          <w:pgMar w:left="320" w:top="891" w:right="339" w:bottom="1440" w:gutter="0" w:footer="0" w:header="0"/>
          <w:type w:val="continuous"/>
        </w:sectPr>
      </w:pPr>
    </w:p>
    <w:p>
      <w:pPr>
        <w:ind w:left="20" w:right="80" w:firstLine="6"/>
        <w:spacing w:after="0" w:line="241" w:lineRule="auto"/>
        <w:tabs>
          <w:tab w:leader="none" w:pos="22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various other non-payroll related operating expenses, including but not limited to, professional and legal services, marketing, facilities and operating leases, maintenance and other operating expenses.</w:t>
      </w:r>
    </w:p>
    <w:p>
      <w:pPr>
        <w:spacing w:after="0" w:line="14" w:lineRule="exact"/>
        <w:rPr>
          <w:rFonts w:ascii="Times New Roman" w:cs="Times New Roman" w:eastAsia="Times New Roman" w:hAnsi="Times New Roman"/>
          <w:sz w:val="14"/>
          <w:szCs w:val="14"/>
          <w:color w:val="auto"/>
        </w:rPr>
      </w:pPr>
    </w:p>
    <w:p>
      <w:pPr>
        <w:ind w:left="20" w:right="100" w:firstLine="6"/>
        <w:spacing w:after="0" w:line="225" w:lineRule="auto"/>
        <w:tabs>
          <w:tab w:leader="none" w:pos="22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reconciled to net income before income taxes with the following adjustments, as applicable: (a) depreciation and amortization expense and impairment charges (including goodwill impairments); (b) restructuring and other, which includes charges or expenses attributable to: (i) employee severance; (ii) management restructuring and related costs; (iii) restructuring and integration; (iv) cost savings initiatives; (v) major litigation; and (vi) acquisition- and disposition-related costs, strategic initiatives, and other unusual items; (c) interest expense; (d) loss on debt refinancing transactions; (e) change in fair value of investments and remeasurement of debt and other; (f) other income (expense), net, including foreign currency gains or losses and earnings (loss) from equity investments; and (g) stock-based compensation. AEBITDA is presented as our primary segment measure of profit or loss.</w:t>
      </w:r>
    </w:p>
    <w:p>
      <w:pPr>
        <w:spacing w:after="0" w:line="14" w:lineRule="exact"/>
        <w:rPr>
          <w:rFonts w:ascii="Times New Roman" w:cs="Times New Roman" w:eastAsia="Times New Roman" w:hAnsi="Times New Roman"/>
          <w:sz w:val="14"/>
          <w:szCs w:val="14"/>
          <w:color w:val="auto"/>
        </w:rPr>
      </w:pPr>
    </w:p>
    <w:p>
      <w:pPr>
        <w:ind w:left="20" w:right="220" w:firstLine="6"/>
        <w:spacing w:after="0" w:line="241" w:lineRule="auto"/>
        <w:tabs>
          <w:tab w:leader="none" w:pos="22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reportable segments (including corporate costs) and items to reconcile the total reportable segments AEBITDA to our consolidated net income before income taxes.</w:t>
      </w:r>
    </w:p>
    <w:p>
      <w:pPr>
        <w:spacing w:after="0" w:line="14"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and other for the Gaming, SciPlay and iGaming reportable business segments was $2 million, $4 million and $—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280" w:type="dxa"/>
            <w:vAlign w:val="bottom"/>
          </w:tcPr>
          <w:p>
            <w:pPr>
              <w:spacing w:after="0"/>
              <w:rPr>
                <w:sz w:val="13"/>
                <w:szCs w:val="13"/>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20" w:type="dxa"/>
            <w:vAlign w:val="bottom"/>
          </w:tcPr>
          <w:p>
            <w:pPr>
              <w:spacing w:after="0"/>
              <w:rPr>
                <w:sz w:val="13"/>
                <w:szCs w:val="13"/>
                <w:color w:val="auto"/>
              </w:rPr>
            </w:pPr>
          </w:p>
        </w:tc>
        <w:tc>
          <w:tcPr>
            <w:tcW w:w="1320" w:type="dxa"/>
            <w:vAlign w:val="bottom"/>
          </w:tcPr>
          <w:p>
            <w:pPr>
              <w:jc w:val="right"/>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Total Reportable</w:t>
            </w:r>
          </w:p>
        </w:tc>
        <w:tc>
          <w:tcPr>
            <w:tcW w:w="0" w:type="dxa"/>
            <w:vAlign w:val="bottom"/>
          </w:tcPr>
          <w:p>
            <w:pPr>
              <w:spacing w:after="0"/>
              <w:rPr>
                <w:sz w:val="1"/>
                <w:szCs w:val="1"/>
                <w:color w:val="auto"/>
              </w:rPr>
            </w:pPr>
          </w:p>
        </w:tc>
      </w:tr>
      <w:tr>
        <w:trPr>
          <w:trHeight w:val="214"/>
        </w:trPr>
        <w:tc>
          <w:tcPr>
            <w:tcW w:w="5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23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Payroll and related</w:t>
            </w:r>
            <w:r>
              <w:rPr>
                <w:rFonts w:ascii="Times New Roman" w:cs="Times New Roman" w:eastAsia="Times New Roman" w:hAnsi="Times New Roman"/>
                <w:sz w:val="23"/>
                <w:szCs w:val="23"/>
                <w:color w:val="auto"/>
                <w:vertAlign w:val="superscript"/>
              </w:rPr>
              <w:t>(2)</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reconciling items</w:t>
            </w:r>
            <w:r>
              <w:rPr>
                <w:rFonts w:ascii="Times New Roman" w:cs="Times New Roman" w:eastAsia="Times New Roman" w:hAnsi="Times New Roman"/>
                <w:sz w:val="23"/>
                <w:szCs w:val="23"/>
                <w:color w:val="auto"/>
                <w:vertAlign w:val="superscript"/>
              </w:rPr>
              <w:t>(3)</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3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140"/>
              <w:spacing w:after="0" w:line="23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(4)</w:t>
            </w: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ectPr>
          <w:pgSz w:w="11900" w:h="16838" w:orient="portrait"/>
          <w:cols w:equalWidth="0" w:num="1">
            <w:col w:w="11240"/>
          </w:cols>
          <w:pgMar w:left="320" w:top="934"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and other unallocated costs</w:t>
      </w:r>
      <w:r>
        <w:rPr>
          <w:rFonts w:ascii="Times New Roman" w:cs="Times New Roman" w:eastAsia="Times New Roman" w:hAnsi="Times New Roman"/>
          <w:sz w:val="22"/>
          <w:szCs w:val="22"/>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D&amp;A</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debt financing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income before income taxes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(35)</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(108)</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(84)</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w:t>
      </w:r>
    </w:p>
    <w:p>
      <w:pPr>
        <w:spacing w:after="0" w:line="4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086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6" w:lineRule="exact"/>
        <w:rPr>
          <w:sz w:val="20"/>
          <w:szCs w:val="20"/>
          <w:color w:val="auto"/>
        </w:rPr>
      </w:pPr>
    </w:p>
    <w:p>
      <w:pPr>
        <w:ind w:left="1080" w:hanging="1073"/>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9086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9086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9100" w:space="720"/>
            <w:col w:w="1420"/>
          </w:cols>
          <w:pgMar w:left="320" w:top="934" w:right="339" w:bottom="1440" w:gutter="0" w:footer="0" w:header="0"/>
          <w:type w:val="continuous"/>
        </w:sectPr>
      </w:pPr>
    </w:p>
    <w:p>
      <w:pPr>
        <w:ind w:left="220" w:hanging="194"/>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stock-based compensation.</w:t>
      </w:r>
    </w:p>
    <w:p>
      <w:pPr>
        <w:spacing w:after="0" w:line="41" w:lineRule="exact"/>
        <w:rPr>
          <w:rFonts w:ascii="Times New Roman" w:cs="Times New Roman" w:eastAsia="Times New Roman" w:hAnsi="Times New Roman"/>
          <w:sz w:val="14"/>
          <w:szCs w:val="14"/>
          <w:color w:val="auto"/>
        </w:rPr>
      </w:pPr>
    </w:p>
    <w:p>
      <w:pPr>
        <w:ind w:left="20" w:right="80" w:firstLine="6"/>
        <w:spacing w:after="0" w:line="251" w:lineRule="auto"/>
        <w:tabs>
          <w:tab w:leader="none" w:pos="22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various other non-payroll related operating expenses, including but not limited to, professional and legal services, marketing, facilities and operating leases, maintenance and other operating expenses.</w:t>
      </w:r>
    </w:p>
    <w:p>
      <w:pPr>
        <w:ind w:left="220" w:hanging="194"/>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(4) to the first table in this Note 3.</w:t>
      </w:r>
    </w:p>
    <w:p>
      <w:pPr>
        <w:spacing w:after="0" w:line="41" w:lineRule="exact"/>
        <w:rPr>
          <w:rFonts w:ascii="Times New Roman" w:cs="Times New Roman" w:eastAsia="Times New Roman" w:hAnsi="Times New Roman"/>
          <w:sz w:val="14"/>
          <w:szCs w:val="14"/>
          <w:color w:val="auto"/>
        </w:rPr>
      </w:pPr>
    </w:p>
    <w:p>
      <w:pPr>
        <w:ind w:left="20" w:right="220" w:firstLine="6"/>
        <w:spacing w:after="0" w:line="251" w:lineRule="auto"/>
        <w:tabs>
          <w:tab w:leader="none" w:pos="22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reportable segments (including corporate costs) and items to reconcile the total reportable segments AEBITDA to our consolidated net income before income taxes.</w:t>
      </w:r>
    </w:p>
    <w:p>
      <w:pPr>
        <w:ind w:left="220" w:hanging="194"/>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and other for the Gaming, SciPlay and iGaming reportable business segments was $1 million, $1 million and $1 million, respectively.</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280" w:type="dxa"/>
            <w:vAlign w:val="bottom"/>
          </w:tcPr>
          <w:p>
            <w:pPr>
              <w:spacing w:after="0"/>
              <w:rPr>
                <w:sz w:val="13"/>
                <w:szCs w:val="13"/>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260" w:type="dxa"/>
            <w:vAlign w:val="bottom"/>
          </w:tcPr>
          <w:p>
            <w:pPr>
              <w:spacing w:after="0"/>
              <w:rPr>
                <w:sz w:val="13"/>
                <w:szCs w:val="1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20" w:type="dxa"/>
            <w:vAlign w:val="bottom"/>
          </w:tcPr>
          <w:p>
            <w:pPr>
              <w:spacing w:after="0"/>
              <w:rPr>
                <w:sz w:val="13"/>
                <w:szCs w:val="13"/>
                <w:color w:val="auto"/>
              </w:rPr>
            </w:pPr>
          </w:p>
        </w:tc>
        <w:tc>
          <w:tcPr>
            <w:tcW w:w="1320" w:type="dxa"/>
            <w:vAlign w:val="bottom"/>
          </w:tcPr>
          <w:p>
            <w:pPr>
              <w:jc w:val="right"/>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Total Reportable</w:t>
            </w:r>
          </w:p>
        </w:tc>
        <w:tc>
          <w:tcPr>
            <w:tcW w:w="0" w:type="dxa"/>
            <w:vAlign w:val="bottom"/>
          </w:tcPr>
          <w:p>
            <w:pPr>
              <w:spacing w:after="0"/>
              <w:rPr>
                <w:sz w:val="1"/>
                <w:szCs w:val="1"/>
                <w:color w:val="auto"/>
              </w:rPr>
            </w:pPr>
          </w:p>
        </w:tc>
      </w:tr>
      <w:tr>
        <w:trPr>
          <w:trHeight w:val="214"/>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23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Payroll and related</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reconciling items</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ind w:left="140"/>
              <w:spacing w:after="0" w:line="23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ectPr>
          <w:pgSz w:w="11900" w:h="16838" w:orient="portrait"/>
          <w:cols w:equalWidth="0" w:num="1">
            <w:col w:w="11240"/>
          </w:cols>
          <w:pgMar w:left="320" w:top="934" w:right="339" w:bottom="1440" w:gutter="0" w:footer="0" w:header="0"/>
          <w:type w:val="continuous"/>
        </w:sectPr>
      </w:pP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and other unallocated costs</w:t>
      </w:r>
      <w:r>
        <w:rPr>
          <w:rFonts w:ascii="Times New Roman" w:cs="Times New Roman" w:eastAsia="Times New Roman" w:hAnsi="Times New Roman"/>
          <w:sz w:val="22"/>
          <w:szCs w:val="22"/>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32" w:lineRule="auto"/>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D&amp;A</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debt financing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income before income taxes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(103)</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(68)</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(331)</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(243)</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w:t>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17</w:t>
      </w:r>
    </w:p>
    <w:p>
      <w:pPr>
        <w:spacing w:after="0" w:line="4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086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6" w:lineRule="exact"/>
        <w:rPr>
          <w:sz w:val="20"/>
          <w:szCs w:val="20"/>
          <w:color w:val="auto"/>
        </w:rPr>
      </w:pPr>
    </w:p>
    <w:p>
      <w:pPr>
        <w:ind w:left="1080" w:hanging="1073"/>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9086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9086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9100" w:space="720"/>
            <w:col w:w="1420"/>
          </w:cols>
          <w:pgMar w:left="320" w:top="934" w:right="339" w:bottom="1440" w:gutter="0" w:footer="0" w:header="0"/>
          <w:type w:val="continuous"/>
        </w:sectPr>
      </w:pPr>
    </w:p>
    <w:p>
      <w:pPr>
        <w:ind w:left="220" w:hanging="194"/>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stock-based compensation.</w:t>
      </w:r>
    </w:p>
    <w:p>
      <w:pPr>
        <w:spacing w:after="0" w:line="41" w:lineRule="exact"/>
        <w:rPr>
          <w:rFonts w:ascii="Times New Roman" w:cs="Times New Roman" w:eastAsia="Times New Roman" w:hAnsi="Times New Roman"/>
          <w:sz w:val="14"/>
          <w:szCs w:val="14"/>
          <w:color w:val="auto"/>
        </w:rPr>
      </w:pPr>
    </w:p>
    <w:p>
      <w:pPr>
        <w:ind w:left="20" w:right="80" w:firstLine="6"/>
        <w:spacing w:after="0" w:line="251" w:lineRule="auto"/>
        <w:tabs>
          <w:tab w:leader="none" w:pos="2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various other non-payroll related operating expenses, including but not limited to, professional and legal services, marketing, facilities and operating leases, maintenance and other operating expenses.</w:t>
      </w:r>
    </w:p>
    <w:p>
      <w:pPr>
        <w:ind w:left="220" w:hanging="194"/>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(4) to the first table in this Note 3.</w:t>
      </w:r>
    </w:p>
    <w:p>
      <w:pPr>
        <w:spacing w:after="0" w:line="41" w:lineRule="exact"/>
        <w:rPr>
          <w:rFonts w:ascii="Times New Roman" w:cs="Times New Roman" w:eastAsia="Times New Roman" w:hAnsi="Times New Roman"/>
          <w:sz w:val="14"/>
          <w:szCs w:val="14"/>
          <w:color w:val="auto"/>
        </w:rPr>
      </w:pPr>
    </w:p>
    <w:p>
      <w:pPr>
        <w:ind w:left="20" w:right="220" w:firstLine="6"/>
        <w:spacing w:after="0" w:line="251" w:lineRule="auto"/>
        <w:tabs>
          <w:tab w:leader="none" w:pos="2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reportable segments (including corporate costs) and items to reconcile the total reportable segments AEBITDA to our consolidated net income before income taxes.</w:t>
      </w:r>
    </w:p>
    <w:p>
      <w:pPr>
        <w:ind w:left="220" w:hanging="194"/>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and other for the Gaming, SciPlay and iGaming reportable business segments was $— million, $10 million and $2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280" w:type="dxa"/>
            <w:vAlign w:val="bottom"/>
          </w:tcPr>
          <w:p>
            <w:pPr>
              <w:spacing w:after="0"/>
              <w:rPr>
                <w:sz w:val="13"/>
                <w:szCs w:val="13"/>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260" w:type="dxa"/>
            <w:vAlign w:val="bottom"/>
          </w:tcPr>
          <w:p>
            <w:pPr>
              <w:spacing w:after="0"/>
              <w:rPr>
                <w:sz w:val="13"/>
                <w:szCs w:val="1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20" w:type="dxa"/>
            <w:vAlign w:val="bottom"/>
          </w:tcPr>
          <w:p>
            <w:pPr>
              <w:spacing w:after="0"/>
              <w:rPr>
                <w:sz w:val="13"/>
                <w:szCs w:val="13"/>
                <w:color w:val="auto"/>
              </w:rPr>
            </w:pPr>
          </w:p>
        </w:tc>
        <w:tc>
          <w:tcPr>
            <w:tcW w:w="1320" w:type="dxa"/>
            <w:vAlign w:val="bottom"/>
          </w:tcPr>
          <w:p>
            <w:pPr>
              <w:jc w:val="right"/>
              <w:ind w:right="51"/>
              <w:spacing w:after="0" w:line="158" w:lineRule="exact"/>
              <w:rPr>
                <w:sz w:val="20"/>
                <w:szCs w:val="20"/>
                <w:color w:val="auto"/>
              </w:rPr>
            </w:pPr>
            <w:r>
              <w:rPr>
                <w:rFonts w:ascii="Times New Roman" w:cs="Times New Roman" w:eastAsia="Times New Roman" w:hAnsi="Times New Roman"/>
                <w:sz w:val="16"/>
                <w:szCs w:val="16"/>
                <w:b w:val="1"/>
                <w:bCs w:val="1"/>
                <w:color w:val="auto"/>
                <w:w w:val="99"/>
              </w:rPr>
              <w:t>Total Reportable</w:t>
            </w:r>
          </w:p>
        </w:tc>
        <w:tc>
          <w:tcPr>
            <w:tcW w:w="0" w:type="dxa"/>
            <w:vAlign w:val="bottom"/>
          </w:tcPr>
          <w:p>
            <w:pPr>
              <w:spacing w:after="0"/>
              <w:rPr>
                <w:sz w:val="1"/>
                <w:szCs w:val="1"/>
                <w:color w:val="auto"/>
              </w:rPr>
            </w:pPr>
          </w:p>
        </w:tc>
      </w:tr>
      <w:tr>
        <w:trPr>
          <w:trHeight w:val="214"/>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23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Payroll and related</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reconciling items</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7"/>
        </w:trPr>
        <w:tc>
          <w:tcPr>
            <w:tcW w:w="5220" w:type="dxa"/>
            <w:vAlign w:val="bottom"/>
            <w:shd w:val="clear" w:color="auto" w:fill="CCEEFF"/>
          </w:tcPr>
          <w:p>
            <w:pPr>
              <w:ind w:left="140"/>
              <w:spacing w:after="0" w:line="23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3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 unallocated costs</w:t>
            </w:r>
            <w:r>
              <w:rPr>
                <w:rFonts w:ascii="Times New Roman" w:cs="Times New Roman" w:eastAsia="Times New Roman" w:hAnsi="Times New Roman"/>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(6)</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52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income before income taxes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20" w:hanging="194"/>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stock-based compensation.</w:t>
      </w:r>
    </w:p>
    <w:p>
      <w:pPr>
        <w:spacing w:after="0" w:line="41" w:lineRule="exact"/>
        <w:rPr>
          <w:rFonts w:ascii="Times New Roman" w:cs="Times New Roman" w:eastAsia="Times New Roman" w:hAnsi="Times New Roman"/>
          <w:sz w:val="14"/>
          <w:szCs w:val="14"/>
          <w:color w:val="auto"/>
        </w:rPr>
      </w:pPr>
    </w:p>
    <w:p>
      <w:pPr>
        <w:ind w:left="20" w:right="80" w:firstLine="6"/>
        <w:spacing w:after="0" w:line="251" w:lineRule="auto"/>
        <w:tabs>
          <w:tab w:leader="none" w:pos="2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various other non-payroll related operating expenses, including but not limited to, professional and legal services, marketing, facilities and operating leases, maintenance and other operating expenses.</w:t>
      </w:r>
    </w:p>
    <w:p>
      <w:pPr>
        <w:ind w:left="220" w:hanging="194"/>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(4) to the first table in this Note 3.</w:t>
      </w:r>
    </w:p>
    <w:p>
      <w:pPr>
        <w:spacing w:after="0" w:line="41" w:lineRule="exact"/>
        <w:rPr>
          <w:rFonts w:ascii="Times New Roman" w:cs="Times New Roman" w:eastAsia="Times New Roman" w:hAnsi="Times New Roman"/>
          <w:sz w:val="14"/>
          <w:szCs w:val="14"/>
          <w:color w:val="auto"/>
        </w:rPr>
      </w:pPr>
    </w:p>
    <w:p>
      <w:pPr>
        <w:ind w:left="20" w:right="220" w:firstLine="6"/>
        <w:spacing w:after="0" w:line="251" w:lineRule="auto"/>
        <w:tabs>
          <w:tab w:leader="none" w:pos="2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reportable segments (including corporate costs) and items to reconcile the total reportable segments AEBITDA to our consolidated net income before income taxes.</w:t>
      </w:r>
    </w:p>
    <w:p>
      <w:pPr>
        <w:ind w:left="220" w:hanging="194"/>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and other for the Gaming, SciPlay and iGaming reportable business segments was $7 million, $2 million and $10 million, respectively.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asset balances and capital expenditures of each reportable business segment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Assets as of</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Capital Expenditures for the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23"/>
                <w:szCs w:val="2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8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87"/>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SciPlay</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iGaming</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Unallocated and reconciling items</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Includes amounts not allocated to the reportable segments (including corporate amounts) to reconcile the total reportable segments to our consolidated totals.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-86995</wp:posOffset>
            </wp:positionV>
            <wp:extent cx="5057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(4) Restructuring and Other</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Restructuring and other includes charges or expenses attributable to: (i) employee severance; (ii) management restructuring and related costs; (iii) restructuring and integration; (iv) cost savings initiatives; (v) major litigation; and (vi) acquisition- and disposition-related costs, strategic initiatives and other unusual items. The following table summarizes pre-tax restructuring and other costs for the periods presented:</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3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related</w:t>
            </w:r>
          </w:p>
        </w:tc>
        <w:tc>
          <w:tcPr>
            <w:tcW w:w="118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related (see Note 15)</w:t>
            </w:r>
          </w:p>
        </w:tc>
        <w:tc>
          <w:tcPr>
            <w:tcW w:w="11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initiatives, acquisitions and related</w:t>
            </w:r>
          </w:p>
        </w:tc>
        <w:tc>
          <w:tcPr>
            <w:tcW w:w="1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acquisition consideration</w:t>
            </w:r>
            <w:r>
              <w:rPr>
                <w:rFonts w:ascii="Times New Roman" w:cs="Times New Roman" w:eastAsia="Times New Roman" w:hAnsi="Times New Roman"/>
                <w:sz w:val="23"/>
                <w:szCs w:val="23"/>
                <w:color w:val="auto"/>
                <w:vertAlign w:val="superscript"/>
              </w:rPr>
              <w:t>(1)</w:t>
            </w:r>
          </w:p>
        </w:tc>
        <w:tc>
          <w:tcPr>
            <w:tcW w:w="11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integration and other</w:t>
            </w: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Represents contingent consideration fair value adjustment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-86995</wp:posOffset>
            </wp:positionV>
            <wp:extent cx="43294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2943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Allowance for Credit Losses and Credit Quality of Receivables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current and long-term receivables, net: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00" w:type="dxa"/>
            <w:vAlign w:val="bottom"/>
            <w:tcBorders>
              <w:bottom w:val="single" w:sz="8" w:color="auto"/>
            </w:tcBorders>
          </w:tcPr>
          <w:p>
            <w:pPr>
              <w:spacing w:after="0"/>
              <w:rPr>
                <w:sz w:val="18"/>
                <w:szCs w:val="18"/>
                <w:color w:val="auto"/>
              </w:rPr>
            </w:pPr>
          </w:p>
        </w:tc>
      </w:tr>
      <w:tr>
        <w:trPr>
          <w:trHeight w:val="211"/>
        </w:trPr>
        <w:tc>
          <w:tcPr>
            <w:tcW w:w="568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29"/>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220" w:type="dxa"/>
            <w:vAlign w:val="bottom"/>
          </w:tcPr>
          <w:p>
            <w:pPr>
              <w:jc w:val="right"/>
              <w:ind w:right="20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receivables, net</w:t>
            </w:r>
          </w:p>
        </w:tc>
        <w:tc>
          <w:tcPr>
            <w:tcW w:w="2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197"/>
        </w:trPr>
        <w:tc>
          <w:tcPr>
            <w:tcW w:w="5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Long-term:</w:t>
            </w:r>
          </w:p>
        </w:tc>
        <w:tc>
          <w:tcPr>
            <w:tcW w:w="2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r>
      <w:tr>
        <w:trPr>
          <w:trHeight w:val="229"/>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Long-term receivables, net</w:t>
            </w:r>
          </w:p>
        </w:tc>
        <w:tc>
          <w:tcPr>
            <w:tcW w:w="2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 net</w:t>
            </w:r>
          </w:p>
        </w:tc>
        <w:tc>
          <w:tcPr>
            <w:tcW w:w="2220" w:type="dxa"/>
            <w:vAlign w:val="bottom"/>
            <w:tcBorders>
              <w:bottom w:val="single" w:sz="8" w:color="auto"/>
            </w:tcBorders>
            <w:shd w:val="clear" w:color="auto" w:fill="CCEEFF"/>
          </w:tcPr>
          <w:p>
            <w:pPr>
              <w:jc w:val="right"/>
              <w:ind w:right="20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6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manage our receivable portfolios using both geography and delinquency as key credit quality indicators. The following table summarizes geographical delinquencies of total receivables, net:</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3720" w:type="dxa"/>
            <w:vAlign w:val="bottom"/>
            <w:gridSpan w:val="6"/>
          </w:tcPr>
          <w:p>
            <w:pPr>
              <w:ind w:left="94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400" w:type="dxa"/>
            <w:vAlign w:val="bottom"/>
          </w:tcPr>
          <w:p>
            <w:pPr>
              <w:spacing w:after="0"/>
              <w:rPr>
                <w:sz w:val="18"/>
                <w:szCs w:val="18"/>
                <w:color w:val="auto"/>
              </w:rPr>
            </w:pPr>
          </w:p>
        </w:tc>
        <w:tc>
          <w:tcPr>
            <w:tcW w:w="3200" w:type="dxa"/>
            <w:vAlign w:val="bottom"/>
            <w:gridSpan w:val="4"/>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0" w:type="dxa"/>
            <w:vAlign w:val="bottom"/>
          </w:tcPr>
          <w:p>
            <w:pPr>
              <w:spacing w:after="0"/>
              <w:rPr>
                <w:sz w:val="1"/>
                <w:szCs w:val="1"/>
                <w:color w:val="auto"/>
              </w:rPr>
            </w:pPr>
          </w:p>
        </w:tc>
      </w:tr>
      <w:tr>
        <w:trPr>
          <w:trHeight w:val="159"/>
        </w:trPr>
        <w:tc>
          <w:tcPr>
            <w:tcW w:w="3860" w:type="dxa"/>
            <w:vAlign w:val="bottom"/>
          </w:tcPr>
          <w:p>
            <w:pPr>
              <w:spacing w:after="0"/>
              <w:rPr>
                <w:sz w:val="13"/>
                <w:szCs w:val="13"/>
                <w:color w:val="auto"/>
              </w:rPr>
            </w:pPr>
          </w:p>
        </w:tc>
        <w:tc>
          <w:tcPr>
            <w:tcW w:w="122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center"/>
              <w:ind w:right="32"/>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right"/>
              <w:ind w:right="32"/>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4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and Canada</w:t>
            </w:r>
          </w:p>
        </w:tc>
        <w:tc>
          <w:tcPr>
            <w:tcW w:w="122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receivables</w:t>
            </w:r>
          </w:p>
        </w:tc>
        <w:tc>
          <w:tcPr>
            <w:tcW w:w="1220" w:type="dxa"/>
            <w:vAlign w:val="bottom"/>
          </w:tcPr>
          <w:p>
            <w:pPr>
              <w:spacing w:after="0"/>
              <w:rPr>
                <w:sz w:val="19"/>
                <w:szCs w:val="19"/>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allowance:</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and Canada</w:t>
            </w:r>
          </w:p>
        </w:tc>
        <w:tc>
          <w:tcPr>
            <w:tcW w:w="1220" w:type="dxa"/>
            <w:vAlign w:val="bottom"/>
          </w:tcPr>
          <w:p>
            <w:pPr>
              <w:spacing w:after="0"/>
              <w:rPr>
                <w:sz w:val="19"/>
                <w:szCs w:val="19"/>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receivables allowance</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(31)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122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Account balances are charged against the allowances after all internal and external collection efforts have been exhausted and the potential for recovery is considered remote.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The activity in our allowance for receivable credit losses for each of the three and nine months ended September 30, 2026 and 2025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62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U.S. and Canada</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allowance for credit losses</w:t>
            </w:r>
          </w:p>
        </w:tc>
        <w:tc>
          <w:tcPr>
            <w:tcW w:w="110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March 31</w:t>
            </w:r>
          </w:p>
        </w:tc>
        <w:tc>
          <w:tcPr>
            <w:tcW w:w="1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June 30</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September 30</w:t>
            </w:r>
          </w:p>
        </w:tc>
        <w:tc>
          <w:tcPr>
            <w:tcW w:w="110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
        </w:trPr>
        <w:tc>
          <w:tcPr>
            <w:tcW w:w="4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700" w:firstLine="648"/>
        <w:spacing w:after="0" w:line="414" w:lineRule="auto"/>
        <w:rPr>
          <w:sz w:val="20"/>
          <w:szCs w:val="20"/>
          <w:color w:val="auto"/>
        </w:rPr>
      </w:pPr>
      <w:r>
        <w:rPr>
          <w:rFonts w:ascii="Times New Roman" w:cs="Times New Roman" w:eastAsia="Times New Roman" w:hAnsi="Times New Roman"/>
          <w:sz w:val="18"/>
          <w:szCs w:val="18"/>
          <w:color w:val="auto"/>
        </w:rPr>
        <w:t xml:space="preserve">As of September 30, 2026 and December 31, 2025, 1% and 3%, respectively, of our total receivables, net, were past due by over 90 days. </w:t>
      </w:r>
      <w:r>
        <w:rPr>
          <w:rFonts w:ascii="Times New Roman" w:cs="Times New Roman" w:eastAsia="Times New Roman" w:hAnsi="Times New Roman"/>
          <w:sz w:val="18"/>
          <w:szCs w:val="18"/>
          <w:i w:val="1"/>
          <w:iCs w:val="1"/>
          <w:color w:val="auto"/>
        </w:rPr>
        <w:t>Credit Quality of Receivables</w:t>
      </w:r>
    </w:p>
    <w:p>
      <w:pPr>
        <w:spacing w:after="0" w:line="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in the Latin America region (“LATAM”) and are primarily comprised of Mexico and Argentina. The following table summarizes our LATAM receivables: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0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400" w:type="dxa"/>
            <w:vAlign w:val="bottom"/>
          </w:tcPr>
          <w:p>
            <w:pPr>
              <w:spacing w:after="0"/>
              <w:rPr>
                <w:sz w:val="18"/>
                <w:szCs w:val="18"/>
                <w:color w:val="auto"/>
              </w:rPr>
            </w:pPr>
          </w:p>
        </w:tc>
        <w:tc>
          <w:tcPr>
            <w:tcW w:w="16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2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over 90 days past due</w:t>
            </w:r>
          </w:p>
        </w:tc>
      </w:tr>
      <w:tr>
        <w:trPr>
          <w:trHeight w:val="22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600" w:type="dxa"/>
            <w:vAlign w:val="bottom"/>
            <w:tcBorders>
              <w:top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center"/>
              <w:ind w:left="1634"/>
              <w:spacing w:after="0"/>
              <w:rPr>
                <w:sz w:val="20"/>
                <w:szCs w:val="20"/>
                <w:color w:val="auto"/>
              </w:rPr>
            </w:pPr>
            <w:r>
              <w:rPr>
                <w:rFonts w:ascii="Times New Roman" w:cs="Times New Roman" w:eastAsia="Times New Roman" w:hAnsi="Times New Roman"/>
                <w:sz w:val="18"/>
                <w:szCs w:val="18"/>
                <w:color w:val="auto"/>
                <w:w w:val="99"/>
              </w:rPr>
              <w:t>59</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88"/>
              </w:rPr>
              <w:t>6</w:t>
            </w:r>
          </w:p>
        </w:tc>
      </w:tr>
      <w:tr>
        <w:trPr>
          <w:trHeight w:val="230"/>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left="1614"/>
              <w:spacing w:after="0"/>
              <w:rPr>
                <w:sz w:val="20"/>
                <w:szCs w:val="20"/>
                <w:color w:val="auto"/>
              </w:rPr>
            </w:pPr>
            <w:r>
              <w:rPr>
                <w:rFonts w:ascii="Times New Roman" w:cs="Times New Roman" w:eastAsia="Times New Roman" w:hAnsi="Times New Roman"/>
                <w:sz w:val="18"/>
                <w:szCs w:val="18"/>
                <w:color w:val="auto"/>
                <w:w w:val="93"/>
              </w:rPr>
              <w:t>(11)</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600" w:type="dxa"/>
            <w:vAlign w:val="bottom"/>
            <w:tcBorders>
              <w:bottom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center"/>
              <w:ind w:left="1634"/>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We continuously review receivables and, as information concerning credit quality and/or overall economic environment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spacing w:after="0" w:line="11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receivables is estimated by discounting expected future cash flows using current interest rates at which similar loans would be made to borrowers with similar credit ratings and remaining maturities. As of September 30, 2026 and December 31, 2025, the fair value of receivables, net, approximated the carrying value due to contractual terms of receivables generally being less than 24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 net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net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2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work-in-process</w:t>
            </w:r>
          </w:p>
        </w:tc>
        <w:tc>
          <w:tcPr>
            <w:tcW w:w="2220" w:type="dxa"/>
            <w:vAlign w:val="bottom"/>
            <w:shd w:val="clear" w:color="auto" w:fill="CCEEFF"/>
          </w:tcPr>
          <w:p>
            <w:pPr>
              <w:jc w:val="right"/>
              <w:ind w:right="20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inventories, net</w:t>
            </w:r>
          </w:p>
        </w:tc>
        <w:tc>
          <w:tcPr>
            <w:tcW w:w="2220" w:type="dxa"/>
            <w:vAlign w:val="bottom"/>
            <w:tcBorders>
              <w:bottom w:val="single" w:sz="8" w:color="auto"/>
            </w:tcBorders>
            <w:shd w:val="clear" w:color="auto" w:fill="CCEEFF"/>
          </w:tcPr>
          <w:p>
            <w:pPr>
              <w:jc w:val="right"/>
              <w:ind w:right="20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Parts and work-in-process include parts for gaming machines, and our finished goods inventory primarily consist of gaming machines for sale.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0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180" w:type="dxa"/>
            <w:vAlign w:val="bottom"/>
            <w:shd w:val="clear" w:color="auto" w:fill="CCEEFF"/>
          </w:tcPr>
          <w:p>
            <w:pPr>
              <w:jc w:val="right"/>
              <w:ind w:right="19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machinery and equipment</w:t>
            </w:r>
          </w:p>
        </w:tc>
        <w:tc>
          <w:tcPr>
            <w:tcW w:w="2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3"/>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180" w:type="dxa"/>
            <w:vAlign w:val="bottom"/>
            <w:tcBorders>
              <w:bottom w:val="single" w:sz="8" w:color="auto"/>
            </w:tcBorders>
          </w:tcPr>
          <w:p>
            <w:pPr>
              <w:jc w:val="right"/>
              <w:ind w:right="19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
        </w:trPr>
        <w:tc>
          <w:tcPr>
            <w:tcW w:w="56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is excluded from cost of services, cost of products and other operating expenses and is separately presented within D&amp;A.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00" w:type="dxa"/>
            <w:vAlign w:val="bottom"/>
            <w:tcBorders>
              <w:bottom w:val="single" w:sz="8" w:color="auto"/>
            </w:tcBorders>
          </w:tcPr>
          <w:p>
            <w:pPr>
              <w:spacing w:after="0"/>
              <w:rPr>
                <w:sz w:val="18"/>
                <w:szCs w:val="18"/>
                <w:color w:val="auto"/>
              </w:rPr>
            </w:pPr>
          </w:p>
        </w:tc>
      </w:tr>
      <w:tr>
        <w:trPr>
          <w:trHeight w:val="211"/>
        </w:trPr>
        <w:tc>
          <w:tcPr>
            <w:tcW w:w="43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r>
      <w:tr>
        <w:trPr>
          <w:trHeight w:val="22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 net and 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regarding our intangible assets as of September 30, 2026 and December 31, 2025.</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00" w:type="dxa"/>
            <w:vAlign w:val="bottom"/>
          </w:tcPr>
          <w:p>
            <w:pPr>
              <w:spacing w:after="0"/>
              <w:rPr>
                <w:sz w:val="13"/>
                <w:szCs w:val="13"/>
                <w:color w:val="auto"/>
              </w:rPr>
            </w:pPr>
          </w:p>
        </w:tc>
        <w:tc>
          <w:tcPr>
            <w:tcW w:w="12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12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0" w:type="dxa"/>
            <w:vAlign w:val="bottom"/>
          </w:tcPr>
          <w:p>
            <w:pPr>
              <w:spacing w:after="0"/>
              <w:rPr>
                <w:sz w:val="1"/>
                <w:szCs w:val="1"/>
                <w:color w:val="auto"/>
              </w:rPr>
            </w:pPr>
          </w:p>
        </w:tc>
      </w:tr>
      <w:tr>
        <w:trPr>
          <w:trHeight w:val="214"/>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Brand names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reflects intangible amortization expense included within D&amp;A: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00" w:type="dxa"/>
            <w:vAlign w:val="bottom"/>
            <w:tcBorders>
              <w:bottom w:val="single" w:sz="8" w:color="auto"/>
            </w:tcBorders>
          </w:tcPr>
          <w:p>
            <w:pPr>
              <w:spacing w:after="0"/>
              <w:rPr>
                <w:sz w:val="18"/>
                <w:szCs w:val="18"/>
                <w:color w:val="auto"/>
              </w:rPr>
            </w:pPr>
          </w:p>
        </w:tc>
      </w:tr>
      <w:tr>
        <w:trPr>
          <w:trHeight w:val="211"/>
        </w:trPr>
        <w:tc>
          <w:tcPr>
            <w:tcW w:w="44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r>
      <w:tr>
        <w:trPr>
          <w:trHeight w:val="225"/>
        </w:trPr>
        <w:tc>
          <w:tcPr>
            <w:tcW w:w="44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Amortization expense</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The nine months ended September 30, 2026 include an intangible assets non-cash impairment charge of $8 million related to a SciPlay studio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 in the carrying value of goodwill, by reportable segment, for the period from December 31, 2025 to September 30, 2026.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Gaming</w:t>
            </w:r>
            <w:r>
              <w:rPr>
                <w:rFonts w:ascii="Times New Roman" w:cs="Times New Roman" w:eastAsia="Times New Roman" w:hAnsi="Times New Roman"/>
                <w:sz w:val="21"/>
                <w:szCs w:val="21"/>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r>
      <w:tr>
        <w:trPr>
          <w:trHeight w:val="229"/>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1"/>
        </w:trPr>
        <w:tc>
          <w:tcPr>
            <w:tcW w:w="55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as of September 30, 2026</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2,784</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9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360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3,365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Accumulated goodwill impairment charges for the Gaming segment as of September 30, 2026 were $989 million.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Software, net</w:t>
      </w:r>
    </w:p>
    <w:p>
      <w:pPr>
        <w:spacing w:after="0" w:line="14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capitalize direct costs for internal-use software projects when it is probable that the project will be completed and the software will be used as intended. Costs incurred prior to meeting the probable threshold and post-implementation maintenance costs are expensed as incurred. Capitalized costs are amortized on a straight-line basis over the estimated useful life, generally 2 to 10 years.</w:t>
      </w:r>
    </w:p>
    <w:p>
      <w:pPr>
        <w:spacing w:after="0" w:line="10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purchase, license and incur costs to develop external use software and game themes (collectively referred to as software) to be used in the products we sell, lease or market to customers. Costs incurred in creating software are expensed when incurred as R&amp;D until technological feasibility has been established, after which costs are capitalized up to the date the software is available for general release to customers. Generally, the software we develop reaches technological feasibility when a working model of the software is available. We capitalize the payments made for software that we purchase or license for use in our products that has previously met the technological feasibility criteria prior to our purchase or license. Additionally, we incur and capitalize regulatory approval costs for our game themes after technological feasibility is achieved. Amortization of capitalized software costs is recorded over the estimated economic life, which is typically 2 to 10 years.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Software, net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00" w:type="dxa"/>
            <w:vAlign w:val="bottom"/>
            <w:tcBorders>
              <w:bottom w:val="single" w:sz="8" w:color="auto"/>
            </w:tcBorders>
          </w:tcPr>
          <w:p>
            <w:pPr>
              <w:spacing w:after="0"/>
              <w:rPr>
                <w:sz w:val="18"/>
                <w:szCs w:val="18"/>
                <w:color w:val="auto"/>
              </w:rPr>
            </w:pPr>
          </w:p>
        </w:tc>
      </w:tr>
      <w:tr>
        <w:trPr>
          <w:trHeight w:val="211"/>
        </w:trPr>
        <w:tc>
          <w:tcPr>
            <w:tcW w:w="570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5"/>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120" w:type="dxa"/>
            <w:vAlign w:val="bottom"/>
            <w:shd w:val="clear" w:color="auto" w:fill="CCEEFF"/>
          </w:tcPr>
          <w:p>
            <w:pPr>
              <w:jc w:val="right"/>
              <w:ind w:right="19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29"/>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net</w:t>
            </w:r>
          </w:p>
        </w:tc>
        <w:tc>
          <w:tcPr>
            <w:tcW w:w="2120" w:type="dxa"/>
            <w:vAlign w:val="bottom"/>
            <w:tcBorders>
              <w:bottom w:val="single" w:sz="8" w:color="auto"/>
            </w:tcBorders>
            <w:shd w:val="clear" w:color="auto" w:fill="CCEEFF"/>
          </w:tcPr>
          <w:p>
            <w:pPr>
              <w:jc w:val="right"/>
              <w:ind w:right="19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reflects amortization of software included within D&amp;A: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60" w:type="dxa"/>
            <w:vAlign w:val="bottom"/>
            <w:tcBorders>
              <w:bottom w:val="single" w:sz="8" w:color="auto"/>
            </w:tcBorders>
          </w:tcPr>
          <w:p>
            <w:pPr>
              <w:spacing w:after="0"/>
              <w:rPr>
                <w:sz w:val="18"/>
                <w:szCs w:val="18"/>
                <w:color w:val="auto"/>
              </w:rPr>
            </w:pPr>
          </w:p>
        </w:tc>
      </w:tr>
      <w:tr>
        <w:trPr>
          <w:trHeight w:val="211"/>
        </w:trPr>
        <w:tc>
          <w:tcPr>
            <w:tcW w:w="44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r>
      <w:tr>
        <w:trPr>
          <w:trHeight w:val="22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our outstanding debt (in order of priority and maturity):</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2"/>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57"/>
        </w:trPr>
        <w:tc>
          <w:tcPr>
            <w:tcW w:w="3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Unamortized debt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discount/premium</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Final</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and deferred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Rate(s)</w:t>
            </w:r>
          </w:p>
        </w:tc>
        <w:tc>
          <w:tcPr>
            <w:tcW w:w="140" w:type="dxa"/>
            <w:vAlign w:val="bottom"/>
          </w:tcPr>
          <w:p>
            <w:pPr>
              <w:spacing w:after="0"/>
              <w:rPr>
                <w:sz w:val="14"/>
                <w:szCs w:val="14"/>
                <w:color w:val="auto"/>
              </w:rPr>
            </w:pP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financing costs,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120" w:type="dxa"/>
            <w:vAlign w:val="bottom"/>
          </w:tcPr>
          <w:p>
            <w:pPr>
              <w:spacing w:after="0"/>
              <w:rPr>
                <w:sz w:val="14"/>
                <w:szCs w:val="14"/>
                <w:color w:val="auto"/>
              </w:rPr>
            </w:pPr>
          </w:p>
        </w:tc>
        <w:tc>
          <w:tcPr>
            <w:tcW w:w="1140" w:type="dxa"/>
            <w:vAlign w:val="bottom"/>
            <w:vMerge w:val="restart"/>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7"/>
              </w:rPr>
              <w:t>Book Value</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LNWI Revolver</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0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LNWI Term Loan A</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29"/>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LNWI Term Loan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LNWI Senior Notes: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 Unsecured Notes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2031 Unsecured Notes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2033 Unsecured Notes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outstanding</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0" w:type="dxa"/>
            <w:vAlign w:val="bottom"/>
          </w:tcPr>
          <w:p>
            <w:pPr>
              <w:spacing w:after="0"/>
              <w:rPr>
                <w:sz w:val="1"/>
                <w:szCs w:val="1"/>
                <w:color w:val="auto"/>
              </w:rPr>
            </w:pPr>
          </w:p>
        </w:tc>
      </w:tr>
      <w:tr>
        <w:trPr>
          <w:trHeight w:val="45"/>
        </w:trPr>
        <w:tc>
          <w:tcPr>
            <w:tcW w:w="37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740" w:type="dxa"/>
            <w:vAlign w:val="bottom"/>
            <w:tcBorders>
              <w:top w:val="single" w:sz="8" w:color="CCEEFF"/>
              <w:bottom w:val="single" w:sz="8" w:color="CCEEFF"/>
            </w:tcBorders>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auto"/>
              </w:rPr>
              <w:t>Fair value of debt</w:t>
            </w:r>
            <w:r>
              <w:rPr>
                <w:rFonts w:ascii="Times New Roman" w:cs="Times New Roman" w:eastAsia="Times New Roman" w:hAnsi="Times New Roman"/>
                <w:sz w:val="22"/>
                <w:szCs w:val="22"/>
                <w:color w:val="auto"/>
                <w:vertAlign w:val="superscript"/>
              </w:rPr>
              <w:t>(1)</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4,982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Fair value of our fixed rate and variable interest rate debt is classified within Level 2 in the fair value hierarchy and has been calculated based on the quoted market prices of our securities.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LNWI Term Loan B Repricing</w:t>
      </w:r>
    </w:p>
    <w:p>
      <w:pPr>
        <w:spacing w:after="0" w:line="14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January 22, 2026, we amended the LNWI Credit Agreement and reduced the applicable margin on the LNWI Term Loan B. Following the amendment, the interest rate for the Term Loan B is either (i) the Adjusted Term SOFR Rate (as defined in the LNWI Credit Agreement) plus 2.00% per annum or (ii) a base rate plus 1.00% per annum.</w:t>
      </w:r>
    </w:p>
    <w:p>
      <w:pPr>
        <w:spacing w:after="0" w:line="10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were in compliance with the financial covenants under all debt agreements as of September 30, 2026 (for information regarding the financial covenants of all our debt agreements, see above and Note 14 in our 2025 10-K).</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regarding the terms of our credit facilities and Senior Notes, see Note 14 in our 2025 10-K.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2026, we held the following derivative instruments that were accounted for pursuant to ASC 815: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Swap Contracts</w:t>
      </w:r>
    </w:p>
    <w:p>
      <w:pPr>
        <w:spacing w:after="0" w:line="15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use interest rate swap contracts as described below to manage exposure to interest rate fluctuations by reducing the uncertainty of future cash flows on a portion of our variable rate debt.</w:t>
      </w:r>
    </w:p>
    <w:p>
      <w:pPr>
        <w:spacing w:after="0" w:line="81"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September 30, 2026. These hedges mature in April 2027.</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23" w:name="page24"/>
    <w:bookmarkEnd w:id="23"/>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(loss) gain and interest income on our interest rate swap contracts: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32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66"/>
        </w:trPr>
        <w:tc>
          <w:tcPr>
            <w:tcW w:w="432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(Loss) gain recorded in accumulated other comprehensive</w:t>
            </w:r>
          </w:p>
        </w:tc>
        <w:tc>
          <w:tcPr>
            <w:tcW w:w="11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net of tax</w:t>
            </w:r>
          </w:p>
        </w:tc>
        <w:tc>
          <w:tcPr>
            <w:tcW w:w="118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84"/>
        </w:trPr>
        <w:tc>
          <w:tcPr>
            <w:tcW w:w="4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income related to interest rate swap contracts</w:t>
            </w: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recorded in interest expense</w:t>
            </w:r>
          </w:p>
        </w:tc>
        <w:tc>
          <w:tcPr>
            <w:tcW w:w="1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2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interest rate swap contracts designated as cash flow hedges on interest expense in the consolidated statements of income: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66"/>
        </w:trPr>
        <w:tc>
          <w:tcPr>
            <w:tcW w:w="60" w:type="dxa"/>
            <w:vAlign w:val="bottom"/>
          </w:tcPr>
          <w:p>
            <w:pPr>
              <w:spacing w:after="0"/>
              <w:rPr>
                <w:sz w:val="14"/>
                <w:szCs w:val="14"/>
                <w:color w:val="auto"/>
              </w:rPr>
            </w:pPr>
          </w:p>
        </w:tc>
        <w:tc>
          <w:tcPr>
            <w:tcW w:w="4320" w:type="dxa"/>
            <w:vAlign w:val="bottom"/>
            <w:gridSpan w:val="3"/>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Total interest expense which reflects the effects of cash</w:t>
            </w: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34"/>
        </w:trPr>
        <w:tc>
          <w:tcPr>
            <w:tcW w:w="60" w:type="dxa"/>
            <w:vAlign w:val="bottom"/>
          </w:tcPr>
          <w:p>
            <w:pPr>
              <w:spacing w:after="0"/>
              <w:rPr>
                <w:sz w:val="20"/>
                <w:szCs w:val="20"/>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 hedges</w:t>
            </w:r>
          </w:p>
        </w:tc>
        <w:tc>
          <w:tcPr>
            <w:tcW w:w="2880" w:type="dxa"/>
            <w:vAlign w:val="bottom"/>
            <w:gridSpan w:val="2"/>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20"/>
                <w:szCs w:val="20"/>
                <w:color w:val="auto"/>
              </w:rPr>
            </w:pPr>
          </w:p>
        </w:tc>
      </w:tr>
      <w:tr>
        <w:trPr>
          <w:trHeight w:val="229"/>
        </w:trPr>
        <w:tc>
          <w:tcPr>
            <w:tcW w:w="60" w:type="dxa"/>
            <w:vAlign w:val="bottom"/>
          </w:tcPr>
          <w:p>
            <w:pPr>
              <w:spacing w:after="0"/>
              <w:rPr>
                <w:sz w:val="19"/>
                <w:szCs w:val="19"/>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Hedged item</w:t>
            </w: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5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9"/>
                <w:szCs w:val="19"/>
                <w:color w:val="auto"/>
              </w:rPr>
            </w:pPr>
          </w:p>
        </w:tc>
      </w:tr>
      <w:tr>
        <w:trPr>
          <w:trHeight w:val="459"/>
        </w:trPr>
        <w:tc>
          <w:tcPr>
            <w:tcW w:w="60" w:type="dxa"/>
            <w:vAlign w:val="bottom"/>
          </w:tcPr>
          <w:p>
            <w:pPr>
              <w:spacing w:after="0"/>
              <w:rPr>
                <w:sz w:val="24"/>
                <w:szCs w:val="24"/>
                <w:color w:val="auto"/>
              </w:rPr>
            </w:pPr>
          </w:p>
        </w:tc>
        <w:tc>
          <w:tcPr>
            <w:tcW w:w="546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The following table shows the fair value of our hedges: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258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Hedge Type</w:t>
            </w:r>
          </w:p>
        </w:tc>
        <w:tc>
          <w:tcPr>
            <w:tcW w:w="3460" w:type="dxa"/>
            <w:vAlign w:val="bottom"/>
            <w:gridSpan w:val="4"/>
          </w:tcPr>
          <w:p>
            <w:pPr>
              <w:ind w:left="1500"/>
              <w:spacing w:after="0"/>
              <w:rPr>
                <w:sz w:val="20"/>
                <w:szCs w:val="20"/>
                <w:color w:val="auto"/>
              </w:rPr>
            </w:pPr>
            <w:r>
              <w:rPr>
                <w:rFonts w:ascii="Times New Roman" w:cs="Times New Roman" w:eastAsia="Times New Roman" w:hAnsi="Times New Roman"/>
                <w:sz w:val="16"/>
                <w:szCs w:val="16"/>
                <w:b w:val="1"/>
                <w:bCs w:val="1"/>
                <w:color w:val="auto"/>
              </w:rPr>
              <w:t>Balance Sheet Line Item</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 w:type="dxa"/>
            <w:vAlign w:val="bottom"/>
          </w:tcPr>
          <w:p>
            <w:pPr>
              <w:spacing w:after="0"/>
              <w:rPr>
                <w:sz w:val="18"/>
                <w:szCs w:val="18"/>
                <w:color w:val="auto"/>
              </w:rPr>
            </w:pPr>
          </w:p>
        </w:tc>
      </w:tr>
      <w:tr>
        <w:trPr>
          <w:trHeight w:val="225"/>
        </w:trPr>
        <w:tc>
          <w:tcPr>
            <w:tcW w:w="2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tcBorders>
              <w:top w:val="single" w:sz="8" w:color="CCEEFF"/>
            </w:tcBorders>
            <w:shd w:val="clear" w:color="auto" w:fill="CCEEFF"/>
          </w:tcPr>
          <w:p>
            <w:pPr>
              <w:spacing w:after="0"/>
              <w:rPr>
                <w:sz w:val="19"/>
                <w:szCs w:val="19"/>
                <w:color w:val="auto"/>
              </w:rPr>
            </w:pPr>
          </w:p>
        </w:tc>
        <w:tc>
          <w:tcPr>
            <w:tcW w:w="4680" w:type="dxa"/>
            <w:vAlign w:val="bottom"/>
            <w:tcBorders>
              <w:top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r>
      <w:tr>
        <w:trPr>
          <w:trHeight w:val="234"/>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Acquisition Consideration Liabilities</w:t>
      </w:r>
    </w:p>
    <w:p>
      <w:pPr>
        <w:spacing w:after="0" w:line="14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spacing w:after="0" w:line="11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 in the contingent acquisition consideration liabilities (including deferred purchase price) for the period from December 31, 2025 to September 30,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54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Included in Accrued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Included in Other Long-Term</w:t>
            </w:r>
          </w:p>
        </w:tc>
        <w:tc>
          <w:tcPr>
            <w:tcW w:w="0" w:type="dxa"/>
            <w:vAlign w:val="bottom"/>
          </w:tcPr>
          <w:p>
            <w:pPr>
              <w:spacing w:after="0"/>
              <w:rPr>
                <w:sz w:val="1"/>
                <w:szCs w:val="1"/>
                <w:color w:val="auto"/>
              </w:rPr>
            </w:pPr>
          </w:p>
        </w:tc>
      </w:tr>
      <w:tr>
        <w:trPr>
          <w:trHeight w:val="214"/>
        </w:trPr>
        <w:tc>
          <w:tcPr>
            <w:tcW w:w="45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540" w:type="dxa"/>
            <w:vAlign w:val="bottom"/>
            <w:shd w:val="clear" w:color="auto" w:fill="CCEEFF"/>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Fair value adjustments</w:t>
            </w:r>
            <w:r>
              <w:rPr>
                <w:rFonts w:ascii="Times New Roman" w:cs="Times New Roman" w:eastAsia="Times New Roman" w:hAnsi="Times New Roman"/>
                <w:sz w:val="23"/>
                <w:szCs w:val="23"/>
                <w:color w:val="auto"/>
                <w:vertAlign w:val="superscript"/>
              </w:rPr>
              <w:t>(1)</w:t>
            </w: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3"/>
                <w:szCs w:val="23"/>
                <w:color w:val="auto"/>
                <w:vertAlign w:val="superscript"/>
              </w:rPr>
              <w:t>(2)</w:t>
            </w:r>
          </w:p>
        </w:tc>
        <w:tc>
          <w:tcPr>
            <w:tcW w:w="15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540" w:type="dxa"/>
            <w:vAlign w:val="bottom"/>
            <w:tcBorders>
              <w:bottom w:val="single" w:sz="8" w:color="auto"/>
            </w:tcBorders>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940" w:type="dxa"/>
            <w:vAlign w:val="bottom"/>
            <w:gridSpan w:val="2"/>
          </w:tcPr>
          <w:p>
            <w:pPr>
              <w:jc w:val="right"/>
              <w:ind w:right="16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20" w:hanging="194"/>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included in Restructuring and other (see Note 4).</w:t>
      </w:r>
    </w:p>
    <w:p>
      <w:pPr>
        <w:spacing w:after="0" w:line="41" w:lineRule="exact"/>
        <w:rPr>
          <w:rFonts w:ascii="Times New Roman" w:cs="Times New Roman" w:eastAsia="Times New Roman" w:hAnsi="Times New Roman"/>
          <w:sz w:val="14"/>
          <w:szCs w:val="14"/>
          <w:color w:val="auto"/>
        </w:rPr>
      </w:pPr>
    </w:p>
    <w:p>
      <w:pPr>
        <w:ind w:left="20" w:right="180" w:firstLine="6"/>
        <w:spacing w:after="0" w:line="234" w:lineRule="auto"/>
        <w:tabs>
          <w:tab w:leader="none" w:pos="22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extinguishment of $7 million in redeemable non-controlling interest liability associated with SciPlay’s acquisition of Alictus Yazilim Anonim Şirketi in 2022, as the remaining interests were transferred to the Company during the second quarter of 2026 with no further consideration. The gain was recorded in other income (expense), net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Stockholders’ Equity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regarding our stockholders’ equity for the nine months ended September 30, 2026 and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9"/>
          </w:tcPr>
          <w:p>
            <w:pPr>
              <w:ind w:left="8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6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of liability awards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of treasury stock upon retirement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of liability awards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42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Purchase of common stock held in trust for stock-based</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plans</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6"/>
        </w:trPr>
        <w:tc>
          <w:tcPr>
            <w:tcW w:w="4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September 30, 2026</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920" w:type="dxa"/>
            <w:vAlign w:val="bottom"/>
          </w:tcPr>
          <w:p>
            <w:pPr>
              <w:jc w:val="center"/>
              <w:ind w:right="11"/>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1"/>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2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of liability awards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Purchase of treasury stock</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Purchase of treasury stock</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Purchase of treasury stock</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Includes excise taxes of $1 million and $3 million for the three and nine months ended September 30, 2025, respectively.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6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2026, we recognized $24 million and $88 million, respectively, in total stock-based compensation expense under all programs. These amounts included $7 million and $37 million, respectively, of stock-based compensation classified as liability awards. For the three and nine months ended September 30, 2025, we recognized $28 million and $87 million, respectively, in total stock-based compensation expense under all programs. These amounts included $11 million and $38 million, respectively, of stock-based compensation classified as liability awards.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 summary of the changes in RSUs outstanding under our equity-based compensation plans during the nine months ended September 30, 2026 is presented below:</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Number of Restricted Stock Units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14"/>
        </w:trPr>
        <w:tc>
          <w:tcPr>
            <w:tcW w:w="5620" w:type="dxa"/>
            <w:vAlign w:val="bottom"/>
            <w:tcBorders>
              <w:bottom w:val="single" w:sz="8" w:color="CCEEFF"/>
            </w:tcBorders>
          </w:tcPr>
          <w:p>
            <w:pPr>
              <w:spacing w:after="0"/>
              <w:rPr>
                <w:sz w:val="18"/>
                <w:szCs w:val="18"/>
                <w:color w:val="auto"/>
              </w:rPr>
            </w:pPr>
          </w:p>
        </w:tc>
        <w:tc>
          <w:tcPr>
            <w:tcW w:w="2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2025</w:t>
            </w:r>
          </w:p>
        </w:tc>
        <w:tc>
          <w:tcPr>
            <w:tcW w:w="2740" w:type="dxa"/>
            <w:vAlign w:val="bottom"/>
            <w:shd w:val="clear" w:color="auto" w:fill="CCEEFF"/>
          </w:tcPr>
          <w:p>
            <w:pPr>
              <w:jc w:val="center"/>
              <w:ind w:left="2272"/>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0" w:type="dxa"/>
            <w:vAlign w:val="bottom"/>
          </w:tcPr>
          <w:p>
            <w:pPr>
              <w:spacing w:after="0"/>
              <w:rPr>
                <w:sz w:val="1"/>
                <w:szCs w:val="1"/>
                <w:color w:val="auto"/>
              </w:rPr>
            </w:pP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740" w:type="dxa"/>
            <w:vAlign w:val="bottom"/>
          </w:tcPr>
          <w:p>
            <w:pPr>
              <w:jc w:val="center"/>
              <w:ind w:left="2272"/>
              <w:spacing w:after="0"/>
              <w:rPr>
                <w:sz w:val="20"/>
                <w:szCs w:val="20"/>
                <w:color w:val="auto"/>
              </w:rPr>
            </w:pPr>
            <w:r>
              <w:rPr>
                <w:rFonts w:ascii="Times New Roman" w:cs="Times New Roman" w:eastAsia="Times New Roman" w:hAnsi="Times New Roman"/>
                <w:sz w:val="18"/>
                <w:szCs w:val="18"/>
                <w:color w:val="auto"/>
                <w:w w:val="97"/>
              </w:rPr>
              <w:t>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740" w:type="dxa"/>
            <w:vAlign w:val="bottom"/>
            <w:shd w:val="clear" w:color="auto" w:fill="CCEEFF"/>
          </w:tcPr>
          <w:p>
            <w:pPr>
              <w:jc w:val="center"/>
              <w:ind w:left="2252"/>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 and forfeited</w:t>
            </w:r>
          </w:p>
        </w:tc>
        <w:tc>
          <w:tcPr>
            <w:tcW w:w="2740" w:type="dxa"/>
            <w:vAlign w:val="bottom"/>
            <w:tcBorders>
              <w:bottom w:val="single" w:sz="8" w:color="auto"/>
            </w:tcBorders>
          </w:tcPr>
          <w:p>
            <w:pPr>
              <w:jc w:val="center"/>
              <w:ind w:left="2252"/>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September 30, 2026</w:t>
            </w:r>
          </w:p>
        </w:tc>
        <w:tc>
          <w:tcPr>
            <w:tcW w:w="2740" w:type="dxa"/>
            <w:vAlign w:val="bottom"/>
            <w:tcBorders>
              <w:bottom w:val="single" w:sz="8" w:color="auto"/>
            </w:tcBorders>
            <w:shd w:val="clear" w:color="auto" w:fill="CCEEFF"/>
          </w:tcPr>
          <w:p>
            <w:pPr>
              <w:jc w:val="center"/>
              <w:ind w:left="2272"/>
              <w:spacing w:after="0"/>
              <w:rPr>
                <w:sz w:val="20"/>
                <w:szCs w:val="20"/>
                <w:color w:val="auto"/>
              </w:rPr>
            </w:pPr>
            <w:r>
              <w:rPr>
                <w:rFonts w:ascii="Times New Roman" w:cs="Times New Roman" w:eastAsia="Times New Roman" w:hAnsi="Times New Roman"/>
                <w:sz w:val="18"/>
                <w:szCs w:val="18"/>
                <w:color w:val="auto"/>
                <w:w w:val="97"/>
              </w:rPr>
              <w:t>1.6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RSUs granted during the nine months ended September 30, 2026 and 2025 was $89.91 and $104.98, respectively. The fair value of each RSU grant is based on the market value of our common stock at the time of grant. As of September 30, 2026, we had $102 million of unrecognized stock-based compensation expense relating to unvested RSUs that is expected to be recognized over a weighted-average vesting period of approximately 1.5 years.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26" w:name="page27"/>
    <w:bookmarkEnd w:id="26"/>
    <w:p>
      <w:pPr>
        <w:ind w:right="20"/>
        <w:spacing w:after="0" w:line="414" w:lineRule="auto"/>
        <w:rPr>
          <w:sz w:val="20"/>
          <w:szCs w:val="20"/>
          <w:color w:val="auto"/>
        </w:rPr>
      </w:pPr>
      <w:r>
        <w:rPr>
          <w:rFonts w:ascii="Times New Roman" w:cs="Times New Roman" w:eastAsia="Times New Roman" w:hAnsi="Times New Roman"/>
          <w:sz w:val="18"/>
          <w:szCs w:val="18"/>
          <w:color w:val="auto"/>
        </w:rPr>
        <w:t xml:space="preserve">The fair value at vesting date of RSUs vested during the nine months ended September 30, 2026 and 2025 was $123 million and $127 million, respectively. </w:t>
      </w:r>
      <w:r>
        <w:rPr>
          <w:rFonts w:ascii="Times New Roman" w:cs="Times New Roman" w:eastAsia="Times New Roman" w:hAnsi="Times New Roman"/>
          <w:sz w:val="18"/>
          <w:szCs w:val="18"/>
          <w:i w:val="1"/>
          <w:iCs w:val="1"/>
          <w:color w:val="auto"/>
        </w:rPr>
        <w:t>Share Repurchase Program</w:t>
      </w:r>
    </w:p>
    <w:p>
      <w:pPr>
        <w:spacing w:after="0" w:line="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June 11, 2024, our Board of Directors (the “Board”) approved a share repurchase program, as amended on July 31, 2025, under which the Company is authorized to repurchase, from time to time through June 12, 2027, up to an aggregate amount of $1.5 billion of shares of outstanding common stock or CDIs. Repurchases under the share repurchase program may be effected at the discretion of the Transaction Committee of the Board through one or more open market repurchases, privately negotiated transactions, including block trades, accelerated share repurchases, issuer tender offers or other derivative contracts or instruments, “10b5-1” plan, or other financial or other arrangements, or a combination of the foregoing. The share repurchase program may be suspended or discontinued at any time.</w:t>
      </w:r>
    </w:p>
    <w:p>
      <w:pPr>
        <w:spacing w:after="0" w:line="12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repurchased approximately 1.8 million CDIs under the repurchase program at an aggregate cost of $156 million, excluding $7 million of excise taxes paid during the period related to purchases made in 2025. On February 19, 2026, we retired all existing treasury shares and restored such shares to the status of authorized but unissued shares in accordance with the Nevada Revised Statutes.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Held in Trust</w:t>
      </w:r>
    </w:p>
    <w:p>
      <w:pPr>
        <w:spacing w:after="0" w:line="14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Company's equity-based incentive plans, the Company funds an employee share trust (the "Trust"), administered by an independent third-party trustee, with cash, which the trustee uses to purchase CDIs on the open market on the ASX. CDIs purchased by the Trust are held until the underlying equity-based awards vest, at which time the CDIs are transferred to the award recipient. Because the Company consolidates the Trust, CDIs held by the Trust are presented as treasury stock on the condensed consolidated balance sheets. During the nine months ended September 30, 2026, the Trust purchased 0.4 million CDIs on the open market for a total cost of $30 million, which are included in treasury stock on the condensed consolidated balance sheets. These purchases are separate from, and independent of, the Company's share repurchase program described above. As of September 30, 2026, the Trust held 0.7 million CDIs in total, including both CDIs purchased on the open market and CDIs issued by the Company, all of which are held for future transfer upon vesting of Company equity awards.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with the prior year as of September 30, 2026.</w:t>
      </w:r>
    </w:p>
    <w:p>
      <w:pPr>
        <w:spacing w:after="0" w:line="9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income tax expense (including discrete items) was $34 million and $73 million for the three and nine months ended September 30, 2026, respectively, and $25 million and $76 million for the three and nine months ended September 30, 2025, respectively. For the three and nine months ended September 30, 2026, our effective tax rate differed from the U.S. statutory rate of 21%, primarily as a result of foreign earnings and the impact of worldwide tax rates on foreign earnings, along with a reduction in foreign withholding taxes. In all periods, we recorded tax expense relative to pre-tax earnings in jurisdictions without valuation allowances.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total operating lease expense for the three and nine months ended September 30, 2026 was $8 million and $22 million, respectively, and $7 million and $20 million for the three and nine months ended September 30, 2025, respectively. The total amount of variable and short-term lease payments was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Supplemental balance sheet and cash flow information related to operating leases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5"/>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465"/>
        </w:trPr>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jc w:val="center"/>
              <w:ind w:left="1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9"/>
              </w:rPr>
              <w:t>Operating cash flows for operating leases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gridSpan w:val="3"/>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36</w:t>
            </w:r>
          </w:p>
        </w:tc>
        <w:tc>
          <w:tcPr>
            <w:tcW w:w="900" w:type="dxa"/>
            <w:vAlign w:val="bottom"/>
            <w:gridSpan w:val="3"/>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Lease liability maturities: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80" w:type="dxa"/>
            <w:vAlign w:val="bottom"/>
          </w:tcPr>
          <w:p>
            <w:pPr>
              <w:spacing w:after="0"/>
              <w:rPr>
                <w:sz w:val="24"/>
                <w:szCs w:val="24"/>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Remainder of</w:t>
            </w:r>
          </w:p>
        </w:tc>
        <w:tc>
          <w:tcPr>
            <w:tcW w:w="360" w:type="dxa"/>
            <w:vAlign w:val="bottom"/>
          </w:tcPr>
          <w:p>
            <w:pPr>
              <w:spacing w:after="0"/>
              <w:rPr>
                <w:sz w:val="24"/>
                <w:szCs w:val="24"/>
                <w:color w:val="auto"/>
              </w:rPr>
            </w:pPr>
          </w:p>
        </w:tc>
        <w:tc>
          <w:tcPr>
            <w:tcW w:w="70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w w:val="99"/>
              </w:rPr>
              <w:t>2027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2030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180" w:type="dxa"/>
            <w:vAlign w:val="bottom"/>
            <w:gridSpan w:val="5"/>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Less Imputed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2026, we did not have material additional operating leases that have not yet commenced.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Litigation</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involved in various legal proceedings, including those discussed below. 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$54 million and $144 million for all of our legal matters that were contingencies as of September 30, 2026 and December 31, 2025, respectively.</w:t>
      </w:r>
    </w:p>
    <w:p>
      <w:pPr>
        <w:spacing w:after="0" w:line="10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reasonably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 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$14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ind w:right="80"/>
        <w:spacing w:after="0" w:line="225" w:lineRule="exact"/>
        <w:rPr>
          <w:sz w:val="20"/>
          <w:szCs w:val="20"/>
          <w:color w:val="auto"/>
        </w:rPr>
      </w:pPr>
      <w:r>
        <w:rPr>
          <w:rFonts w:ascii="Times New Roman" w:cs="Times New Roman" w:eastAsia="Times New Roman" w:hAnsi="Times New Roman"/>
          <w:sz w:val="18"/>
          <w:szCs w:val="18"/>
          <w:color w:val="auto"/>
        </w:rPr>
        <w:t>on significant issues, or the behavior and incentives of adverse parties, regulators, indemnitors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reasonably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Colombia Litigation</w:t>
      </w:r>
    </w:p>
    <w:p>
      <w:pPr>
        <w:spacing w:after="0" w:line="14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spacing w:after="0" w:line="12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spacing w:after="0" w:line="1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spacing w:after="0" w:line="9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Colombian Constitutional Court received the record of the constitutional appeal for further consideration, and on September 26, 2023, that court selected LNWI’s constitutional appeal for further consideration. On April 25, 2024, LNWI was notified that, by means of a decision dated April 5, 2024, a three-judge panel of the Colombian Constitutional Court denied LNWI’s constitutional appeal. On April 30, 2024, LNWI filed a motion to have that panel ruling declared null and void by the full Chamber of the Colombian Constitutional Court. On November 7, 2024, LNWI was notified that, by means of a decision dated August 8, 2024, the full Chamber of the Colombian Constitutional Court denied LNWI’s motion filed on April 30, 2024. The matter has been remanded to the Tribunal for further proceedings, and on April 30, 2025, the Tribunal issued an order directing the parties to comply with the December 10, 2020 decision of the Council of State. The matter remains pending before the Tribunal.</w:t>
      </w:r>
    </w:p>
    <w:p>
      <w:pPr>
        <w:spacing w:after="0" w:line="1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SNAI Litigation</w:t>
      </w:r>
    </w:p>
    <w:p>
      <w:pPr>
        <w:spacing w:after="0" w:line="16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April 16, 2012, certain VLTs operated by SNAI in Italy and supplied by Barcrest Group Limited (“Barcrest”) erroneously printed what appeared to be winning jackpot and other tickets with a face amount in excess of €400.0 million. SNAI has stated, and system data confirms, that no jackpots were actually won on that day. The terminals were deactivated by the Italian regulatory authority. Following the incident, we understand that the Italian regulatory authority revoked the certification of the version of the gaming system that Barcrest provided to SNAI and fined SNAI €1.5 million, but determined to not revoke SNAI’s concession to operate VLTs in Italy.</w:t>
      </w:r>
    </w:p>
    <w:p>
      <w:pPr>
        <w:spacing w:after="0" w:line="102" w:lineRule="exact"/>
        <w:rPr>
          <w:sz w:val="20"/>
          <w:szCs w:val="20"/>
          <w:color w:val="auto"/>
        </w:rPr>
      </w:pPr>
    </w:p>
    <w:p>
      <w:pPr>
        <w:ind w:right="180" w:firstLine="648"/>
        <w:spacing w:after="0" w:line="219" w:lineRule="exact"/>
        <w:rPr>
          <w:sz w:val="20"/>
          <w:szCs w:val="20"/>
          <w:color w:val="auto"/>
        </w:rPr>
      </w:pPr>
      <w:r>
        <w:rPr>
          <w:rFonts w:ascii="Times New Roman" w:cs="Times New Roman" w:eastAsia="Times New Roman" w:hAnsi="Times New Roman"/>
          <w:sz w:val="18"/>
          <w:szCs w:val="18"/>
          <w:color w:val="auto"/>
        </w:rPr>
        <w:t>In October 2012, SNAI filed a lawsuit in the Court of First Instance of Rome in Italy against Barcrest and The Global Draw Limited, our subsidiary which acquired Barcrest from IGT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UK Group Limited, a subsidiary of IGT, claiming liability arising out of the April 2012 incident and asserting claims based on theories of breach of contract and tort. The lawsuit sought to terminate SNAI’s agreement with Barcrest and damages arising from the deactivation of the terminals, including, among other things, lost profits, expenses and costs, potential awards to players who have sought to enforce what appeared to be winning jackpot and other tickets, compensation for lost profits sought by managers of the gaming locations where SNAI VLTs supplied by Barcrest were installed, damages to commercial reputation and any future damages arising from SNAI’s potential loss of its concession or inability to obtain a new concession.</w:t>
      </w:r>
    </w:p>
    <w:p>
      <w:pPr>
        <w:spacing w:after="0" w:line="13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February 2015, we entered into a settlement agreement with SNAI that provides, among other things, for us to make a €25.0 million upfront payment to SNAI, which payment was made in February 2015, and to indemnify SNAI against certain potential future losses. In connection with the settlement, the parties’ pending claims in the Court of First Instance of Rome were dismissed on February 19, 2015. As of September 30, 2026, we have paid €9.7 million to SNAI pursuant to our indemnification obligations.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re Automatic Card Shufflers Litigation Matter</w:t>
      </w:r>
    </w:p>
    <w:p>
      <w:pPr>
        <w:spacing w:after="0" w:line="14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Discovery closed on December 1, 2023. On February 16, 2024, the defendants filed a motion for summary judgment, and plaintiffs filed a motion for partial summary judgment and a motion for class certification. On May 8, 2025, the court held a hearing on the pending motions for summary judgment. On March 31, 2026, the court granted in part and denied in part defendants’ motion for summary judgment; denied plaintiffs’ motion for partial summary judgment; and granted plaintiffs’ motion for class certification. On May 4, 2026, the defendants filed a motion for reconsideration of the court’s March 31, 2026 opinion and order on defendants’ motion for summary judgment, and that motion for reconsideration is fully briefed and pending. On May 21, 2026, the court set the matter for a jury trial beginning November 1, 2027. Due to the complexity of the plaintiffs’ claims, and the unpredictability of the outcome of the proceedings in the district court, or any appeal therefrom, we are unable at this time to estimate a range of reasonably possible losses, or any amount within such a range, above the amount we have recorded for this matter, which is the minimum amount of reasonably possible loss. We believe that the claims are without merit, and intend to vigorously defend against them.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Mohawk Gaming Enterprises Matter</w:t>
      </w:r>
    </w:p>
    <w:p>
      <w:pPr>
        <w:spacing w:after="0" w:line="16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November 9, 2020, Mohawk Gaming Enterprises LLC, d/b/a Akwesasne Mohawk Casino Resort, filed a demand for a putative class arbitration before the American Arbitration Association against L&amp;W, Bally Technologies, Inc. and LNW Gaming, Inc., f/k/a Bally Gaming, Inc.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t>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Discovery closed on December 1, 2023. On February 16, 2024, the respondents filed a motion for summary judgment. Also on February 16, 2024, claimant filed a motion for partial summary judgment and a motion for class certification. On December 9, 2024, the arbitrator denied the motions for summary judgment and issued a class determination award, certifying a class. On January 9, 2025, respondents filed a petition to vacate the award in New York Supreme Court. The Court denied respondents’ petition and granted claimant’s cross-petition to confirm the award on July 2, 2025, and on July 7, 2025, respondents appealed to the New York Appellate Division, First Department, which on July 16, 2026, affirmed the New York Supreme Court’s decision. On August 19, 2026, respondents served their motion for leave to appeal to the New York Court of Appeals, and that motion is fully briefed and pending. On November 14, 2025, the arbitrator entered a scheduling order setting the evidentiary hearing in this matter for April 15 to 30 and May 6 to 13, 2026. On March 19, 2026, the arbitrator entered an order postponing the evidentiary hearing pending future developments relating to respondents’ appeal of the arbitrator’s class determination award. Due to the complexity of the claims, and the unpredictability of the outcome of the proceedings before the arbitrator, or any appeal therefrom, we are unable at this time to estimate a range of reasonably possible losses, or any amount within such a range, above the amount we have recorded for this matter, which is the minimum amount of reasonably possible loss. We believe that the claims in the arbitration demand are without merit, and intend to vigorously defend against them.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 Guzman Matter</w:t>
      </w:r>
    </w:p>
    <w:p>
      <w:pPr>
        <w:spacing w:after="0" w:line="14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January 13, 2026, plaintiff Mark De Guzman filed a putative class action complaint against SciPlay Corporation and SciPlay Games, LLC in the United States District Court for the Northern District of California. The complaint asserts claims for alleged violations under California’s Unfair Competition Law, California’s Consumer Legal Remedies Act, and California’s Penal Code, and for unjust enrichment. The plaintiff seeks to represent a putative class of California residents who spent money playing SciPlay’s online social casino games during the four years preceding the filing of plaintiff’s complaint. Plaintiff’s complaint seeks an order certifying the proposed class, and further seeks unspecified money damages, rescission, restitution, declaratory relief, and injunctive relief, the award of interest, expenses, costs, and plaintiff’s reasonable attorneys’ fees, and unspecified other equitable relief. On March 23, 2026, defendants filed a motion to compel arbitration of plaintiff’s claims and to stay plaintiff’s lawsuit pending resolution of the arbitration. On April 23, 2026, the district court granted defendants’ motion to compel arbitration of plaintiff’s claims, and stayed and administratively closed plaintiff’s lawsuit pending resolution of the arbitration proceedings. We are currently unable to determine the likelihood of an outcome or estimate a range of reasonably possible losses, if any. We believe that the claims in the complaint are without merit, and intend to vigorously defend against them.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Herman Matter</w:t>
      </w:r>
    </w:p>
    <w:p>
      <w:pPr>
        <w:spacing w:after="0" w:line="16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January 15, 2026, plaintiff Sean Herman filed a putative class action complaint against SciPlay Corporation and SciPlay Games, LLC in the United States District Court for the Western District of Washington. The complaint asserts claims for alleged violations of Washington State’s anti-gambling statutes and Washington State’s Consumer Protection Act. The plaintiff seeks to represent a putative class of Washington State residents who spent money playing SciPlay’s online social casino games during the three years preceding the filing of plaintiff’s complaint. Plaintiff’s complaint seeks an order certifying the proposed class, and further seeks unspecified money damages, rescission, restitution, declaratory relief, and injunctive relief, the award of interest, expenses, costs, and plaintiff’s reasonable attorneys’ fees, and unspecified other equitable relief. On March 30, 2026, defendants filed a motion to compel arbitration of plaintiff’s claims and to stay plaintiff’s lawsuit pending resolution of the arbitration. On April 29, 2026, plaintiff filed a Notice of Non-Opposition to defendants’ motion to compel arbitration, stating that plaintiff agrees the case should be stayed while the parties arbitrate their dispute. On May 22, 2026, the court granted defendants’ motion to compel arbitration of plaintiff’s claims and stayed plaintiff’s lawsuit pending completion of the arbitration proceedings. We are currently unable to determine the likelihood of an outcome or estimate a range of reasonably possible losses, if any. We believe that the claims in the complaint are without merit, and intend to vigorously defend against them.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Evolution Matter</w:t>
      </w:r>
    </w:p>
    <w:p>
      <w:pPr>
        <w:spacing w:after="0" w:line="16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May 28, 2024, Evolution Malta Limited, Evolution Gaming Malta Limited, and SIA Evolution Latvia brought a civil action in the United States District Court for the District of Nevada against L&amp;W and LNW Gaming, Inc. Plaintiffs assert claims for patent infringement and trade secret misappropriation relating to defendants’ ROULETTEX® and POWERX® games and defendants’ 88 Fortunes Blaze Live Roulette game. Plaintiffs’ complaint seeks preliminary and permanent injunctive relief, unspecified money damages, the award of attorneys’ fees and costs, interest, and declaratory relief. On July 24, 2024, defendants filed a motion to dismiss plaintiffs’ complaint, which the court granted as to plaintiffs’ claims for patent infringement on February 11, 2025. On August 16, 2024, defendants filed a motion to stay discovery, which the court denied on November 7, 2024. On February 7, 2025, defendants filed a motion to compel arbitration of plaintiffs’ claims for trade secret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1" w:name="page32"/>
    <w:bookmarkEnd w:id="31"/>
    <w:p>
      <w:pPr>
        <w:spacing w:after="0" w:line="253" w:lineRule="auto"/>
        <w:rPr>
          <w:sz w:val="20"/>
          <w:szCs w:val="20"/>
          <w:color w:val="auto"/>
        </w:rPr>
      </w:pPr>
      <w:r>
        <w:rPr>
          <w:rFonts w:ascii="Times New Roman" w:cs="Times New Roman" w:eastAsia="Times New Roman" w:hAnsi="Times New Roman"/>
          <w:sz w:val="18"/>
          <w:szCs w:val="18"/>
          <w:color w:val="auto"/>
        </w:rPr>
        <w:t>misappropriation, or, in the alternative, to dismiss the claims. On September 30, 2025, the court granted defendants’ motion to compel arbitration of plaintiffs’ claims for trade secret misappropriation and stayed those claims. On April 10, 2025, plaintiffs filed a First Amended Complaint and on May 15, 2025, defendants filed a motion to dismiss that First Amended Complaint, which the court denied as moot on September 30, 2025. Also on April 10, 2025, plaintiffs filed a motion for leave to file a Second Amended Complaint, which the court granted on June 30, 2025. Plaintiffs filed their Second Amended Complaint on June 30, 2025, and defendants filed a motion to dismiss the claims for patent infringement in that complaint on August 8, 2025. Also on August 8, 2025, the parties filed a joint stipulation to stay all discovery until and through January 16, 2026, which the court granted on August 11, 2025. On February 2, 2026, defendants filed a motion to stay all discovery pending the court’s ruling on defendants’ motion to dismiss plaintiffs’ Second Amended Complaint, and the resolution of pending Inter Partes Review proceedings involving the majority of the patents asserted in the action, which the court denied as moot on March 31, 2026. On February 3, 2026, the court entered a scheduling order setting certain pretrial deadlines, including a fact discovery deadline of October 27, 2026. On March 30, 2026, the court granted defendants’ motion to dismiss the claims for patent infringement. On May 5, 2026, the court entered an order noting that the lawsuit remains stayed pending the outcome of an arbitration between the parties regarding plaintiffs’ claims of trade secret misappropriation. We are currently unable to determine the likelihood of an outcome or estimate a range of reasonably possible losses, if any. We believe that the claims in the dispute are without merit and intend to vigorously defend against them.</w:t>
      </w:r>
    </w:p>
    <w:p>
      <w:pPr>
        <w:spacing w:after="0" w:line="12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On November 12, 2025, Evolution Malta Limited, Evolution Gaming Malta Limited, and SIA Evolution Latvia filed a request for arbitration directed against L&amp;W and LNW Gaming, Inc. with the International Court of Arbitration of the International Chamber of Commerce (“ICC”). Claimants’ request for arbitration asserts those claims for trade secret misappropriation that the Nevada court, in its order of September 30, 2025, directed be arbitrated. On February 2, 2026, respondents filed an answer to claimants’ request for arbitration. On February 27, 2026, the ICC confirmed the constitution of an Arbitral Tribunal over claimants’ claims, consisting of three arbitrators. On June 19, 2026, the Arbitral Tribunal entered a procedural order setting the matter for a hearing beginning on July 26, 2027. We are currently unable to determine the likelihood of an outcome or estimate a range of reasonably possible losses, if any. We believe that the claims in the dispute are without merit and intend to vigorously defend against them.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AztecGold Holdings Pty Ltd. Matter (Australia)</w:t>
      </w:r>
    </w:p>
    <w:p>
      <w:pPr>
        <w:spacing w:after="0" w:line="1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April 22, 2026, AztecGold Holdings Pty Ltd. brought a shareholder class action in the Commercial Court of the Supreme Court of Victoria, Australia against L&amp;W. Plaintiff asserts claims for breaches of the Australian Corporations Act, the Australian Securities and Investments Commission Act 2001, and the Australian Consumer Law, relating to representations provided by L&amp;W regarding its Dragon Train game. The lawsuit is brought on behalf of shareholders who acquired an interest in L&amp;W CDIs between May 22, 2023 and September 24, 2024. Plaintiff’s statement of claim seeks declaratory relief, unspecified money damages, and the award of interest and costs. On September 18, 2026, L&amp;W filed its defense to plaintiff’s statement of claim. We are currently unable to determine the likelihood of an outcome or estimate a range of reasonably possible losses, if any. We believe that the plaintiff’s claims are without merit and intend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“Condensed Consolidated Financial Statements” and </w:t>
      </w:r>
      <w:r>
        <w:rPr>
          <w:rFonts w:ascii="Times New Roman" w:cs="Times New Roman" w:eastAsia="Times New Roman" w:hAnsi="Times New Roman"/>
          <w:sz w:val="18"/>
          <w:szCs w:val="18"/>
          <w:i w:val="1"/>
          <w:iCs w:val="1"/>
          <w:color w:val="auto"/>
        </w:rPr>
        <w:t>Part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in this Quarterly Report on Form 10-Q and under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“Business,”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and </w:t>
      </w:r>
      <w:r>
        <w:rPr>
          <w:rFonts w:ascii="Times New Roman" w:cs="Times New Roman" w:eastAsia="Times New Roman" w:hAnsi="Times New Roman"/>
          <w:sz w:val="18"/>
          <w:szCs w:val="18"/>
          <w:i w:val="1"/>
          <w:iCs w:val="1"/>
          <w:color w:val="auto"/>
        </w:rPr>
        <w:t>Part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2025 10-K.</w:t>
      </w:r>
    </w:p>
    <w:p>
      <w:pPr>
        <w:spacing w:after="0" w:line="9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2025 10-K. As used in this MD&amp;A, the terms “we,” “us,” “our” and the “Company” mean L&amp;W together with its consolidated subsidiaries.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and electronic pull tabs and related services to charitable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w:t>
      </w:r>
    </w:p>
    <w:p>
      <w:pPr>
        <w:spacing w:after="0" w:line="1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more fully described in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“Business” in our 2025 10-K, we are executing on our strategy to become a leading cross-platform global games company with a focus on content and digital markets. We report our results of operations in three reportable business segments—Gaming, SciPlay and iGaming—representing our different products and services. See “Business Segments Results” below and Note 3 for additional reportable segment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1280" w:type="dxa"/>
            <w:vAlign w:val="bottom"/>
            <w:gridSpan w:val="2"/>
            <w:vMerge w:val="restart"/>
          </w:tcPr>
          <w:p>
            <w:pPr>
              <w:jc w:val="center"/>
              <w:ind w:left="53"/>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60" w:type="dxa"/>
            <w:vAlign w:val="bottom"/>
          </w:tcPr>
          <w:p>
            <w:pPr>
              <w:spacing w:after="0"/>
              <w:rPr>
                <w:sz w:val="16"/>
                <w:szCs w:val="16"/>
                <w:color w:val="auto"/>
              </w:rPr>
            </w:pPr>
          </w:p>
        </w:tc>
        <w:tc>
          <w:tcPr>
            <w:tcW w:w="12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40" w:type="dxa"/>
            <w:vAlign w:val="bottom"/>
            <w:gridSpan w:val="2"/>
          </w:tcPr>
          <w:p>
            <w:pPr>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33"/>
              <w:spacing w:after="0" w:line="17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12"/>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center"/>
              <w:ind w:left="73"/>
              <w:spacing w:after="0" w:line="173" w:lineRule="exact"/>
              <w:rPr>
                <w:sz w:val="20"/>
                <w:szCs w:val="20"/>
                <w:color w:val="auto"/>
              </w:rPr>
            </w:pPr>
            <w:r>
              <w:rPr>
                <w:rFonts w:ascii="Times New Roman" w:cs="Times New Roman" w:eastAsia="Times New Roman" w:hAnsi="Times New Roman"/>
                <w:sz w:val="16"/>
                <w:szCs w:val="16"/>
                <w:b w:val="1"/>
                <w:bCs w:val="1"/>
                <w:color w:val="auto"/>
              </w:rPr>
              <w:t>2026 vs. 2025</w:t>
            </w: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ind w:left="100"/>
              <w:spacing w:after="0" w:line="17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32"/>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260"/>
              <w:spacing w:after="0" w:line="173" w:lineRule="exact"/>
              <w:rPr>
                <w:sz w:val="20"/>
                <w:szCs w:val="20"/>
                <w:color w:val="auto"/>
              </w:rPr>
            </w:pPr>
            <w:r>
              <w:rPr>
                <w:rFonts w:ascii="Times New Roman" w:cs="Times New Roman" w:eastAsia="Times New Roman" w:hAnsi="Times New Roman"/>
                <w:sz w:val="16"/>
                <w:szCs w:val="16"/>
                <w:b w:val="1"/>
                <w:bCs w:val="1"/>
                <w:color w:val="auto"/>
              </w:rPr>
              <w:t>2026 vs. 2025</w:t>
            </w: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99"/>
              </w:rPr>
              <w:t>(17)</w:t>
            </w:r>
          </w:p>
        </w:tc>
        <w:tc>
          <w:tcPr>
            <w:tcW w:w="7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(30)</w:t>
            </w:r>
          </w:p>
        </w:tc>
        <w:tc>
          <w:tcPr>
            <w:tcW w:w="7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6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9"/>
              </w:rPr>
              <w:t>13</w:t>
            </w:r>
          </w:p>
        </w:tc>
        <w:tc>
          <w:tcPr>
            <w:tcW w:w="7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9"/>
              </w:rPr>
              <w:t>28</w:t>
            </w: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9"/>
              </w:rPr>
              <w:t>19</w:t>
            </w:r>
          </w:p>
        </w:tc>
        <w:tc>
          <w:tcPr>
            <w:tcW w:w="7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Revenue by Reportable Business Segment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0" w:lineRule="exact"/>
        <w:rPr>
          <w:sz w:val="20"/>
          <w:szCs w:val="20"/>
          <w:color w:val="auto"/>
        </w:rPr>
      </w:pPr>
    </w:p>
    <w:p>
      <w:pPr>
        <w:ind w:left="1300"/>
        <w:spacing w:after="0"/>
        <w:tabs>
          <w:tab w:leader="none" w:pos="6040" w:val="left"/>
        </w:tabs>
        <w:rPr>
          <w:sz w:val="20"/>
          <w:szCs w:val="20"/>
          <w:color w:val="auto"/>
        </w:rPr>
      </w:pPr>
      <w:r>
        <w:rPr>
          <w:rFonts w:ascii="Times New Roman" w:cs="Times New Roman" w:eastAsia="Times New Roman" w:hAnsi="Times New Roman"/>
          <w:sz w:val="18"/>
          <w:szCs w:val="18"/>
          <w:b w:val="1"/>
          <w:bCs w:val="1"/>
          <w:color w:val="auto"/>
        </w:rPr>
        <w:t>Three Months Ended September 30, 2026 and 2025</w:t>
      </w:r>
      <w:r>
        <w:rPr>
          <w:sz w:val="20"/>
          <w:szCs w:val="20"/>
          <w:color w:val="auto"/>
        </w:rPr>
        <w:tab/>
      </w:r>
      <w:r>
        <w:rPr>
          <w:rFonts w:ascii="Times New Roman" w:cs="Times New Roman" w:eastAsia="Times New Roman" w:hAnsi="Times New Roman"/>
          <w:sz w:val="17"/>
          <w:szCs w:val="17"/>
          <w:b w:val="1"/>
          <w:bCs w:val="1"/>
          <w:color w:val="auto"/>
        </w:rPr>
        <w:t>Nine Months Ended September 30,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19685</wp:posOffset>
            </wp:positionV>
            <wp:extent cx="5863590" cy="1860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63590"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Gaming revenue decreased 1% for the three months ended September 30, 2026, as compared to the prior year period. The revenue decrease was primarily driven by a decrease in Gaming systems revenue of $17 million due to lower hardware sales, along with lower Table products sales of $4 million driven by lower global utility sales. These decreases were partially offset by higher Gaming machine sales of $10 million and higher Gaming operations revenue of $7 million.</w:t>
      </w:r>
    </w:p>
    <w:p>
      <w:pPr>
        <w:spacing w:after="0" w:line="11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Gaming revenue increased 2% for the nine months ended September 30, 2026, as compared to the prior year period. Revenue growth was primarily driven by higher Gaming operations revenue (excluding Grover) of $37 million, or 7%, supported by our diversified portfolio of high-performing game franchises, along with an increase of $73 million in revenue from Grover, reflecting continued growth in the business and a full year-to-date contribution from Grover compared to a partial contribution in the prior year following its acquisition on May 16, 2025. Additionally, Table products contributed $14 million in growth driven by an increase in global utility sales. These increases were partially offset by a decrease in Gaming machine sales of $48 million, primarily due to the timing of North America and international VLT shipments, and a decrease in Gaming systems revenue of $38 million, primarily due to lower hardware sales as compared to the prior year period.</w:t>
      </w:r>
    </w:p>
    <w:p>
      <w:pPr>
        <w:spacing w:after="0" w:line="108"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SciPlay revenue decreased by $24 million and $58 million, or 12% and 10%, for the three and nine months ended September 30, 2026, respectively, as compared to the prior year periods. These decreases reflect ongoing softness of the broader social casino free-to-play market, partially offset by continued direct-to-consumer (“DTC”) revenue growth. Revenue generated via our DTC platform continues to increase and represented approximately 31% and 20% of total SciPlay revenue for the three months ended September 30, 2026 and 2025, respectively, and 29% and 17% for the nine months ended September 30, 2026 and 2025, respectively.</w:t>
      </w:r>
    </w:p>
    <w:p>
      <w:pPr>
        <w:spacing w:after="0" w:line="11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iGaming revenue increased by $11 million and $36 million, or 13% and 15%, for the three and nine months ended September 30, 2026, respectively. Revenue growth was driven primarily by continued momentum in the North American markets underpinned by first-party content (“1PP”) proliferation and the expansion of our partner network.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1180" w:type="dxa"/>
            <w:vAlign w:val="bottom"/>
            <w:gridSpan w:val="2"/>
            <w:vMerge w:val="restart"/>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40" w:type="dxa"/>
            <w:vAlign w:val="bottom"/>
          </w:tcPr>
          <w:p>
            <w:pPr>
              <w:spacing w:after="0"/>
              <w:rPr>
                <w:sz w:val="16"/>
                <w:szCs w:val="16"/>
                <w:color w:val="auto"/>
              </w:rPr>
            </w:pPr>
          </w:p>
        </w:tc>
        <w:tc>
          <w:tcPr>
            <w:tcW w:w="118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20" w:type="dxa"/>
            <w:vAlign w:val="bottom"/>
            <w:gridSpan w:val="2"/>
          </w:tcPr>
          <w:p>
            <w:pPr>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93"/>
              <w:spacing w:after="0" w:line="17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9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left="92"/>
              <w:spacing w:after="0" w:line="173" w:lineRule="exact"/>
              <w:rPr>
                <w:sz w:val="20"/>
                <w:szCs w:val="20"/>
                <w:color w:val="auto"/>
              </w:rPr>
            </w:pPr>
            <w:r>
              <w:rPr>
                <w:rFonts w:ascii="Times New Roman" w:cs="Times New Roman" w:eastAsia="Times New Roman" w:hAnsi="Times New Roman"/>
                <w:sz w:val="16"/>
                <w:szCs w:val="16"/>
                <w:b w:val="1"/>
                <w:bCs w:val="1"/>
                <w:color w:val="auto"/>
              </w:rPr>
              <w:t>2026 vs. 2025</w:t>
            </w: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3"/>
              <w:spacing w:after="0" w:line="17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9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left="92"/>
              <w:spacing w:after="0" w:line="173" w:lineRule="exact"/>
              <w:rPr>
                <w:sz w:val="20"/>
                <w:szCs w:val="20"/>
                <w:color w:val="auto"/>
              </w:rPr>
            </w:pPr>
            <w:r>
              <w:rPr>
                <w:rFonts w:ascii="Times New Roman" w:cs="Times New Roman" w:eastAsia="Times New Roman" w:hAnsi="Times New Roman"/>
                <w:sz w:val="16"/>
                <w:szCs w:val="16"/>
                <w:b w:val="1"/>
                <w:bCs w:val="1"/>
                <w:color w:val="auto"/>
              </w:rPr>
              <w:t>2026 vs. 2025</w:t>
            </w: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products</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R&amp;D</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D&amp;A</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4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Total cost of revenue decreased 7% for the three months ended September 30, 2026, as compared to the prior year period. This change was primarily due to $11 million of lower services costs associated with decreased SciPlay revenue and $11 million of lower products costs primarily associated with lower Gaming systems and Table product sales, partially offset by higher Gaming machine sales.</w:t>
      </w:r>
    </w:p>
    <w:p>
      <w:pPr>
        <w:spacing w:after="0" w:line="10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Total cost of revenue decreased 7% for the nine months ended September 30, 2026, as compared to the prior year period. This change was primarily due to $32 million of lower services costs associated with decreased SciPlay revenue and $34 million of lower products costs associated with lower Gaming product sales, partially offset by higher iGaming services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4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SG&amp;A decreased 3% for the three months ended September 30, 2026, as compared to the prior year period. This was primarily due to lower payroll and related expenses of $5 million and lower stock-based compensation expense of $4 million.</w:t>
      </w:r>
    </w:p>
    <w:p>
      <w:pPr>
        <w:spacing w:after="0" w:line="94"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SG&amp;A increased 2% for the nine months ended September 30, 2026, as compared to the prior year period. This was primarily due to higher payroll and related expenses of $3 million, higher stock-based compensation expense of $1 million, higher bad debt expense of $6 million, and a</w:t>
      </w:r>
    </w:p>
    <w:p>
      <w:pPr>
        <w:ind w:right="300"/>
        <w:spacing w:after="0" w:line="260" w:lineRule="auto"/>
        <w:rPr>
          <w:sz w:val="20"/>
          <w:szCs w:val="20"/>
          <w:color w:val="auto"/>
        </w:rPr>
      </w:pPr>
      <w:r>
        <w:rPr>
          <w:rFonts w:ascii="Times New Roman" w:cs="Times New Roman" w:eastAsia="Times New Roman" w:hAnsi="Times New Roman"/>
          <w:sz w:val="18"/>
          <w:szCs w:val="18"/>
          <w:color w:val="auto"/>
        </w:rPr>
        <w:t>$14 million net increase in various other operating expenses, partially offset by a decrease in user acquisition expense of $8 million, primarily related to SciPlay.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160" w:lineRule="exact"/>
        <w:rPr>
          <w:sz w:val="20"/>
          <w:szCs w:val="20"/>
          <w:color w:val="auto"/>
        </w:rPr>
      </w:pPr>
    </w:p>
    <w:p>
      <w:pPr>
        <w:ind w:right="580" w:firstLine="648"/>
        <w:spacing w:after="0" w:line="312" w:lineRule="auto"/>
        <w:rPr>
          <w:sz w:val="20"/>
          <w:szCs w:val="20"/>
          <w:color w:val="auto"/>
        </w:rPr>
      </w:pPr>
      <w:r>
        <w:rPr>
          <w:rFonts w:ascii="Times New Roman" w:cs="Times New Roman" w:eastAsia="Times New Roman" w:hAnsi="Times New Roman"/>
          <w:sz w:val="17"/>
          <w:szCs w:val="17"/>
          <w:color w:val="auto"/>
        </w:rPr>
        <w:t>R&amp;D decreased 10% and 5% for the three and nine months ended September 30, 2026, respectively, as compared to the prior year periods, primarily due to $6 million and $5 million, respectively, in lower payroll and related expenses, net of capitalized software development costs.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D&amp;A</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D&amp;A decreased 3% for the three months ended September 30, 2026, as compared to the prior year period. D&amp;A increased 11% for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2026, primarily due to higher depreciation related to investments in and growth of the Gaming operations installed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 million in higher D&amp;A primarily associated with the Grover acquisition, and a $9 million impairment charge related to a SciPlay studio restructuring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quarter of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w:t>
      </w:r>
    </w:p>
    <w:p>
      <w:pPr>
        <w:spacing w:after="0" w:line="14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Restructuring and other increased for the three months ended September 30, 2026, primarily due to employee severance and related costs of $6 million, as compared to $1 million in the prior year period.</w:t>
      </w:r>
    </w:p>
    <w:p>
      <w:pPr>
        <w:spacing w:after="0" w:line="9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Restructuring and other increased for the nine months ended September 30, 2026, primarily due to $50 million in legal reserve contingencies associated with certain legal matters, partially offset by prior period costs related to strategic review and related transactions, including legal and professional service fees associated with the acquisition of Grover of $14 million and $10 million in iGaming charges, primarily related to the discontinuation of our iGaming Live Casino operations. The nine months ended September 30, 2026 also included higher employee severance and related costs of $12 million, partially offset by the revaluation of Grover contingent acquisition consideration of $11 million.</w:t>
      </w:r>
    </w:p>
    <w:p>
      <w:pPr>
        <w:sectPr>
          <w:pgSz w:w="11900" w:h="16838" w:orient="portrait"/>
          <w:cols w:equalWidth="0" w:num="1">
            <w:col w:w="11220"/>
          </w:cols>
          <w:pgMar w:left="320" w:top="889" w:right="359" w:bottom="144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Factors Affecting Net Income</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1840" w:type="dxa"/>
            <w:vAlign w:val="bottom"/>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84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59"/>
        </w:trPr>
        <w:tc>
          <w:tcPr>
            <w:tcW w:w="840" w:type="dxa"/>
            <w:vAlign w:val="bottom"/>
            <w:tcBorders>
              <w:bottom w:val="single" w:sz="8" w:color="auto"/>
            </w:tcBorders>
          </w:tcPr>
          <w:p>
            <w:pPr>
              <w:spacing w:after="0" w:line="139" w:lineRule="exact"/>
              <w:rPr>
                <w:sz w:val="20"/>
                <w:szCs w:val="20"/>
                <w:color w:val="auto"/>
              </w:rPr>
            </w:pPr>
            <w:r>
              <w:rPr>
                <w:rFonts w:ascii="Times New Roman" w:cs="Times New Roman" w:eastAsia="Times New Roman" w:hAnsi="Times New Roman"/>
                <w:sz w:val="16"/>
                <w:szCs w:val="16"/>
                <w:b w:val="1"/>
                <w:bCs w:val="1"/>
                <w:color w:val="auto"/>
                <w:w w:val="99"/>
              </w:rPr>
              <w:t>(in millions)</w:t>
            </w:r>
          </w:p>
        </w:tc>
        <w:tc>
          <w:tcPr>
            <w:tcW w:w="1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4"/>
        </w:trPr>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8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652"/>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42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4540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For additional information regarding our income tax expense, see Note 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Factors Affecting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31629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2026 vs. 2025</w:t>
      </w:r>
    </w:p>
    <w:p>
      <w:pPr>
        <w:spacing w:after="0" w:line="48"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6"/>
          <w:szCs w:val="16"/>
          <w:color w:val="auto"/>
        </w:rPr>
        <w:t>The increase in year-to-date interest expense was primarily due to higher outstanding debt used to complete the Grover acquisition, partially offset by the redemption of certain senior notes and refinancing through the LNWI Credit Agreement that reduced our applicable interest rates.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 in other income (expense), net was primarily due to foreign</w:t>
      </w:r>
    </w:p>
    <w:p>
      <w:pPr>
        <w:spacing w:after="0" w:line="211" w:lineRule="auto"/>
        <w:rPr>
          <w:sz w:val="20"/>
          <w:szCs w:val="20"/>
          <w:color w:val="auto"/>
        </w:rPr>
      </w:pPr>
      <w:r>
        <w:rPr>
          <w:rFonts w:ascii="Times New Roman" w:cs="Times New Roman" w:eastAsia="Times New Roman" w:hAnsi="Times New Roman"/>
          <w:sz w:val="16"/>
          <w:szCs w:val="16"/>
          <w:color w:val="auto"/>
        </w:rPr>
        <w:t>exchange impacts, along with the year-to-date change in our contingent</w:t>
      </w:r>
    </w:p>
    <w:p>
      <w:pPr>
        <w:spacing w:after="0"/>
        <w:rPr>
          <w:sz w:val="20"/>
          <w:szCs w:val="20"/>
          <w:color w:val="auto"/>
        </w:rPr>
      </w:pPr>
      <w:r>
        <w:rPr>
          <w:rFonts w:ascii="Times New Roman" w:cs="Times New Roman" w:eastAsia="Times New Roman" w:hAnsi="Times New Roman"/>
          <w:sz w:val="16"/>
          <w:szCs w:val="16"/>
          <w:color w:val="auto"/>
        </w:rPr>
        <w:t>consideration liability associated with the Alictus acquisition from 2022.</w:t>
      </w:r>
    </w:p>
    <w:p>
      <w:pPr>
        <w:spacing w:after="0" w:line="14"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6"/>
          <w:szCs w:val="16"/>
          <w:color w:val="auto"/>
        </w:rPr>
        <w:t>The change in income tax expense for the three and nine months ended September 30, 2026 as compared to the prior year periods, was primarily due to the change in worldwide income</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p>
      <w:pPr>
        <w:spacing w:after="0" w:line="287" w:lineRule="exact"/>
        <w:rPr>
          <w:sz w:val="20"/>
          <w:szCs w:val="20"/>
          <w:color w:val="auto"/>
        </w:rPr>
      </w:pPr>
    </w:p>
    <w:p>
      <w:pPr>
        <w:sectPr>
          <w:pgSz w:w="11900" w:h="16838" w:orient="portrait"/>
          <w:cols w:equalWidth="0" w:num="2">
            <w:col w:w="6160" w:space="120"/>
            <w:col w:w="4940"/>
          </w:cols>
          <w:pgMar w:left="320" w:top="889" w:right="35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(F/X)</w:t>
      </w:r>
    </w:p>
    <w:p>
      <w:pPr>
        <w:spacing w:after="0" w:line="14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6"/>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8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9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32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Consolidated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60" w:type="dxa"/>
            <w:vAlign w:val="bottom"/>
            <w:gridSpan w:val="3"/>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 Consolidated</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340" w:type="dxa"/>
            <w:vAlign w:val="bottom"/>
          </w:tcPr>
          <w:p>
            <w:pPr>
              <w:jc w:val="right"/>
              <w:ind w:right="35"/>
              <w:spacing w:after="0" w:line="158" w:lineRule="exact"/>
              <w:rPr>
                <w:sz w:val="20"/>
                <w:szCs w:val="20"/>
                <w:color w:val="auto"/>
              </w:rPr>
            </w:pPr>
            <w:r>
              <w:rPr>
                <w:rFonts w:ascii="Times New Roman" w:cs="Times New Roman" w:eastAsia="Times New Roman" w:hAnsi="Times New Roman"/>
                <w:sz w:val="16"/>
                <w:szCs w:val="16"/>
                <w:b w:val="1"/>
                <w:bCs w:val="1"/>
                <w:color w:val="auto"/>
              </w:rPr>
              <w:t>%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540" w:type="dxa"/>
            <w:vAlign w:val="bottom"/>
            <w:gridSpan w:val="3"/>
          </w:tcPr>
          <w:p>
            <w:pPr>
              <w:ind w:left="360"/>
              <w:spacing w:after="0" w:line="142" w:lineRule="exact"/>
              <w:rPr>
                <w:sz w:val="20"/>
                <w:szCs w:val="20"/>
                <w:color w:val="auto"/>
              </w:rPr>
            </w:pPr>
            <w:r>
              <w:rPr>
                <w:rFonts w:ascii="Times New Roman" w:cs="Times New Roman" w:eastAsia="Times New Roman" w:hAnsi="Times New Roman"/>
                <w:sz w:val="16"/>
                <w:szCs w:val="16"/>
                <w:b w:val="1"/>
                <w:bCs w:val="1"/>
                <w:color w:val="auto"/>
              </w:rPr>
              <w:t>Revenue</w:t>
            </w:r>
          </w:p>
        </w:tc>
        <w:tc>
          <w:tcPr>
            <w:tcW w:w="820" w:type="dxa"/>
            <w:vAlign w:val="bottom"/>
            <w:gridSpan w:val="2"/>
            <w:vMerge w:val="continue"/>
          </w:tcPr>
          <w:p>
            <w:pPr>
              <w:spacing w:after="0"/>
              <w:rPr>
                <w:sz w:val="14"/>
                <w:szCs w:val="14"/>
                <w:color w:val="auto"/>
              </w:rPr>
            </w:pPr>
          </w:p>
        </w:tc>
        <w:tc>
          <w:tcPr>
            <w:tcW w:w="154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Revenue</w:t>
            </w:r>
          </w:p>
        </w:tc>
        <w:tc>
          <w:tcPr>
            <w:tcW w:w="840" w:type="dxa"/>
            <w:vAlign w:val="bottom"/>
            <w:gridSpan w:val="2"/>
            <w:vMerge w:val="continue"/>
          </w:tcPr>
          <w:p>
            <w:pPr>
              <w:spacing w:after="0"/>
              <w:rPr>
                <w:sz w:val="14"/>
                <w:szCs w:val="14"/>
                <w:color w:val="auto"/>
              </w:rPr>
            </w:pPr>
          </w:p>
        </w:tc>
        <w:tc>
          <w:tcPr>
            <w:tcW w:w="156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Revenue</w:t>
            </w:r>
          </w:p>
        </w:tc>
        <w:tc>
          <w:tcPr>
            <w:tcW w:w="840" w:type="dxa"/>
            <w:vAlign w:val="bottom"/>
            <w:gridSpan w:val="2"/>
            <w:vMerge w:val="continue"/>
          </w:tcPr>
          <w:p>
            <w:pPr>
              <w:spacing w:after="0"/>
              <w:rPr>
                <w:sz w:val="14"/>
                <w:szCs w:val="14"/>
                <w:color w:val="auto"/>
              </w:rPr>
            </w:pPr>
          </w:p>
        </w:tc>
        <w:tc>
          <w:tcPr>
            <w:tcW w:w="134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British Pound Sterling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54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3 %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5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4 %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5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3 %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8"/>
              </w:rPr>
              <w:t>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Australian Dollar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3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3 %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type w:val="continuous"/>
        </w:sectPr>
      </w:pPr>
    </w:p>
    <w:bookmarkStart w:id="35" w:name="page36"/>
    <w:bookmarkEnd w:id="35"/>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REPORTABLE BUSINESS SEGMENT RESULTS </w:t>
      </w:r>
      <w:r>
        <w:rPr>
          <w:rFonts w:ascii="Times New Roman" w:cs="Times New Roman" w:eastAsia="Times New Roman" w:hAnsi="Times New Roman"/>
          <w:sz w:val="18"/>
          <w:szCs w:val="18"/>
          <w:b w:val="1"/>
          <w:bCs w:val="1"/>
          <w:i w:val="1"/>
          <w:iCs w:val="1"/>
          <w:color w:val="auto"/>
        </w:rPr>
        <w:t>(for the three and nine months ended September 30, 2026 compared to the three and nine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ended September 30, 2025)</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GAMING</w:t>
      </w:r>
    </w:p>
    <w:p>
      <w:pPr>
        <w:spacing w:after="0" w:line="148"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charitable organizations, and government agencies and their affiliated operators.</w:t>
      </w:r>
    </w:p>
    <w:p>
      <w:pPr>
        <w:spacing w:after="0" w:line="9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electronic pull tabs and other services revenues. Our product sales revenue includes the sale of new and used gaming machines, electronic table games, VLTs and VGTs, casino-management technology solutions and systems, table products, proprietary table game licensing, conversion kits (including game, hardware or operating system conversions) and spare parts.</w:t>
      </w:r>
    </w:p>
    <w:p>
      <w:pPr>
        <w:spacing w:after="0" w:line="100"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refer to the Gaming primary business activities summary included within “Business Segment Results” under </w:t>
      </w:r>
      <w:r>
        <w:rPr>
          <w:rFonts w:ascii="Times New Roman" w:cs="Times New Roman" w:eastAsia="Times New Roman" w:hAnsi="Times New Roman"/>
          <w:sz w:val="18"/>
          <w:szCs w:val="18"/>
          <w:i w:val="1"/>
          <w:iCs w:val="1"/>
          <w:color w:val="auto"/>
        </w:rPr>
        <w:t>Part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Item 7 </w:t>
      </w:r>
      <w:r>
        <w:rPr>
          <w:rFonts w:ascii="Times New Roman" w:cs="Times New Roman" w:eastAsia="Times New Roman" w:hAnsi="Times New Roman"/>
          <w:sz w:val="18"/>
          <w:szCs w:val="18"/>
          <w:color w:val="auto"/>
        </w:rPr>
        <w:t>“Management’s Discussion and Analysis of Financial Condition and Results of Operations” of our 2025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Gaming revenue for the three and nine months ended September 30, 2026 decreased by 1% and increased by 2%, respectively, as compared to the prior year periods. Gaming operations revenue grew for both periods, benefiting from an increase supported by our diversified portfolio of high-performing game franchises, along with an increase in revenue from Grover. Gaming systems revenue decreased for both periods primarily as a result of lower hardware sales. Gaming machine sales increased for the three months ended September 30, 2026 on the normalizing of unit shipments timing leading into the fourth quarter, but it decreased for the nine months ended September 30, 2026 due to the timing of North America and international VLT shipments. Table products revenue decreased for the three months ended September 30, 2026 and increased for the nine months ended September 30, 2026, in each case, due to the timing of utility sales.</w:t>
      </w:r>
    </w:p>
    <w:p>
      <w:pPr>
        <w:spacing w:after="0" w:line="118"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 xml:space="preserve">Our performance is driven by the continued strength of our diversified portfolio of successful game franchises and the success of our </w:t>
      </w:r>
      <w:r>
        <w:rPr>
          <w:rFonts w:ascii="Times New Roman" w:cs="Times New Roman" w:eastAsia="Times New Roman" w:hAnsi="Times New Roman"/>
          <w:sz w:val="18"/>
          <w:szCs w:val="18"/>
          <w:i w:val="1"/>
          <w:iCs w:val="1"/>
          <w:color w:val="auto"/>
        </w:rPr>
        <w:t>COSMIC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lineup, </w:t>
      </w:r>
      <w:r>
        <w:rPr>
          <w:rFonts w:ascii="Times New Roman" w:cs="Times New Roman" w:eastAsia="Times New Roman" w:hAnsi="Times New Roman"/>
          <w:sz w:val="18"/>
          <w:szCs w:val="18"/>
          <w:i w:val="1"/>
          <w:iCs w:val="1"/>
          <w:color w:val="auto"/>
        </w:rPr>
        <w:t>LIGHTWAVE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LIGHTWAVE SOLAR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cabinets. We are actively monitoring any impact of tariffs, inflationary pressures, supply chain disruptions, geopolitical uncertainty, and macroeconomic uncertainty that may impact our operations and financial results. See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within our 2025 10-K for further information regarding these factors which may have an impact on our Gaming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5786120" cy="27863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8612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1300" w:type="dxa"/>
            <w:vAlign w:val="bottom"/>
            <w:gridSpan w:val="2"/>
            <w:vMerge w:val="restart"/>
          </w:tcPr>
          <w:p>
            <w:pPr>
              <w:jc w:val="center"/>
              <w:ind w:left="191"/>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6"/>
                <w:szCs w:val="16"/>
                <w:color w:val="auto"/>
              </w:rPr>
            </w:pPr>
          </w:p>
        </w:tc>
        <w:tc>
          <w:tcPr>
            <w:tcW w:w="1300" w:type="dxa"/>
            <w:vAlign w:val="bottom"/>
            <w:gridSpan w:val="2"/>
            <w:vMerge w:val="restart"/>
          </w:tcPr>
          <w:p>
            <w:pPr>
              <w:jc w:val="center"/>
              <w:ind w:left="191"/>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9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 except per unit amounts)</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92"/>
              <w:spacing w:after="0" w:line="17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left="211"/>
              <w:spacing w:after="0" w:line="173" w:lineRule="exact"/>
              <w:rPr>
                <w:sz w:val="20"/>
                <w:szCs w:val="20"/>
                <w:color w:val="auto"/>
              </w:rPr>
            </w:pPr>
            <w:r>
              <w:rPr>
                <w:rFonts w:ascii="Times New Roman" w:cs="Times New Roman" w:eastAsia="Times New Roman" w:hAnsi="Times New Roman"/>
                <w:sz w:val="16"/>
                <w:szCs w:val="16"/>
                <w:b w:val="1"/>
                <w:bCs w:val="1"/>
                <w:color w:val="auto"/>
              </w:rPr>
              <w:t>2026 vs. 2025</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92"/>
              <w:spacing w:after="0" w:line="173" w:lineRule="exact"/>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left="211"/>
              <w:spacing w:after="0" w:line="173" w:lineRule="exact"/>
              <w:rPr>
                <w:sz w:val="20"/>
                <w:szCs w:val="20"/>
                <w:color w:val="auto"/>
              </w:rPr>
            </w:pPr>
            <w:r>
              <w:rPr>
                <w:rFonts w:ascii="Times New Roman" w:cs="Times New Roman" w:eastAsia="Times New Roman" w:hAnsi="Times New Roman"/>
                <w:sz w:val="16"/>
                <w:szCs w:val="16"/>
                <w:b w:val="1"/>
                <w:bCs w:val="1"/>
                <w:color w:val="auto"/>
              </w:rPr>
              <w:t>2026 vs. 2025</w:t>
            </w: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00"/>
              <w:spacing w:after="0" w:line="230" w:lineRule="exact"/>
              <w:rPr>
                <w:sz w:val="20"/>
                <w:szCs w:val="20"/>
                <w:color w:val="auto"/>
              </w:rPr>
            </w:pPr>
            <w:r>
              <w:rPr>
                <w:rFonts w:ascii="Times New Roman" w:cs="Times New Roman" w:eastAsia="Times New Roman" w:hAnsi="Times New Roman"/>
                <w:sz w:val="18"/>
                <w:szCs w:val="18"/>
                <w:color w:val="auto"/>
              </w:rPr>
              <w:t>Gaming operations</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Gaming machine sales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Gaming systems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Table products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KPIs: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U.S. and Canada units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daily revenue per unit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 units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daily revenue per unit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machine sales: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and Canada new unit shipments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new unit shipments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new unit shipments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sales price per new unit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ind w:left="40" w:right="20" w:hanging="1"/>
        <w:spacing w:after="0" w:line="161" w:lineRule="exact"/>
        <w:tabs>
          <w:tab w:leader="none" w:pos="24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Grover installed base. During the fourth quarter of 2025, we revised the calculation of U.S. and Canada Average Daily Revenue per Unit (“ADRPU”) and updated the definition of our Grover installed base to fully align the methodology used across Grover and our legacy Gaming operations. The revision also incorporates a transition to presenting ADRPU on a net basis for WAP jackpots. Prior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period amounts have been revised to conform to the current presentation. These revisions did not have a material impact on underlying historical trends in the business.</w:t>
      </w:r>
    </w:p>
    <w:p>
      <w:pPr>
        <w:spacing w:after="0" w:line="1" w:lineRule="exact"/>
        <w:rPr>
          <w:rFonts w:ascii="Times New Roman" w:cs="Times New Roman" w:eastAsia="Times New Roman" w:hAnsi="Times New Roman"/>
          <w:sz w:val="14"/>
          <w:szCs w:val="14"/>
          <w:color w:val="auto"/>
        </w:rPr>
      </w:pPr>
    </w:p>
    <w:p>
      <w:pPr>
        <w:ind w:left="240" w:hanging="201"/>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exclude those related to game content licensing.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Operations</w:t>
      </w:r>
    </w:p>
    <w:p>
      <w:pPr>
        <w:spacing w:after="0" w:line="158"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Gaming operations revenue grew for the three and nine months ended September 30, 2026, primarily driven by strong game performance of hit franchises, including our premium games, as well an increase of $73 million in revenue from Grover for the nine months ended September 30, 2026, due to growth and a full year-to-date contribution from Grover compared to a partial contribution in the prior year following the acquisition on May 16, 2025. Gaming operations for U.S. and Canada had a 2,476-unit increase in installed base from September 30, 2025 to September 30, 2026, and average daily revenue per unit increased $0.84 and $0.94 for the three and nine months ended September 30, 2026, respectively, as average daily revenue per unit growth related to premium U.S. and Canada units was partially offset by the inclusion of lower-yielding Grover units in the nine month period. Premium U.S. and Canada units increased by 2,657 units from September 30, 2025 to September 30, 2026, and represented 43% of the total U.S. and Canada installed base (inclusive of Grover) as of September 30, 2026, compared to 40% as of September 30, 2025. Average daily revenue per unit for international units increased by $1.84 for the three months ended September 30, 2026 and $0.81 for the nine months ended September 30, 2026. International ending installed base units decreased by 1,391 units from September 30, 2025 to September 30, 2026, primarily due to the expected closure of certain LBOs in the U.K.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Machine Sales</w:t>
      </w:r>
    </w:p>
    <w:p>
      <w:pPr>
        <w:spacing w:after="0" w:line="144"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Gaming machine sales revenue increased by $10 million, or 5%, for the three months ended September 30, 2026, on the normalizing of unit shipments timing. Gaming machine sales revenue decreased by $48 million, or 8%, for the nine months ended September 30, 2026, primarily due to the timing of North America and international VLT shipments.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The following table summarizes Gaming machine sales changes: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20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20" w:type="dxa"/>
            <w:vAlign w:val="bottom"/>
            <w:gridSpan w:val="2"/>
            <w:vMerge w:val="restart"/>
          </w:tcPr>
          <w:p>
            <w:pPr>
              <w:jc w:val="center"/>
              <w:ind w:left="39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60" w:type="dxa"/>
            <w:vAlign w:val="bottom"/>
            <w:gridSpan w:val="2"/>
            <w:vMerge w:val="restart"/>
          </w:tcPr>
          <w:p>
            <w:pPr>
              <w:jc w:val="center"/>
              <w:ind w:left="39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00" w:type="dxa"/>
            <w:vAlign w:val="bottom"/>
          </w:tcPr>
          <w:p>
            <w:pPr>
              <w:spacing w:after="0"/>
              <w:rPr>
                <w:sz w:val="18"/>
                <w:szCs w:val="18"/>
                <w:color w:val="auto"/>
              </w:rPr>
            </w:pPr>
          </w:p>
        </w:tc>
        <w:tc>
          <w:tcPr>
            <w:tcW w:w="20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gridSpan w:val="2"/>
          </w:tcPr>
          <w:p>
            <w:pPr>
              <w:jc w:val="center"/>
              <w:ind w:left="392"/>
              <w:spacing w:after="0"/>
              <w:rPr>
                <w:sz w:val="20"/>
                <w:szCs w:val="20"/>
                <w:color w:val="auto"/>
              </w:rPr>
            </w:pPr>
            <w:r>
              <w:rPr>
                <w:rFonts w:ascii="Times New Roman" w:cs="Times New Roman" w:eastAsia="Times New Roman" w:hAnsi="Times New Roman"/>
                <w:sz w:val="16"/>
                <w:szCs w:val="16"/>
                <w:b w:val="1"/>
                <w:bCs w:val="1"/>
                <w:color w:val="auto"/>
                <w:w w:val="99"/>
              </w:rPr>
              <w:t>2026 vs. 2025</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5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and Canada new unit shipments: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Replacement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14,608</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3"/>
        </w:trPr>
        <w:tc>
          <w:tcPr>
            <w:tcW w:w="3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new unit shipments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new unit shipments: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122 %</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5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7"/>
              </w:rPr>
              <w:t>(56)%</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new unit shipments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Systems</w:t>
      </w:r>
    </w:p>
    <w:p>
      <w:pPr>
        <w:spacing w:after="0" w:line="15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Gaming systems revenue decreased 24% to $55 million for the three months ended September 30, 2026, and 18% to $170 million for the nine months ended September 30, 2026. The majority of these decreases were due to lower hardware sales as compared to the prior year periods.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Table Products</w:t>
      </w:r>
    </w:p>
    <w:p>
      <w:pPr>
        <w:spacing w:after="0" w:line="15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Table products revenue decreased 7% to $52 million for the three months ended September 30, 2026, and increased 9% to $176 million for the nine months ended September 30, 2026, as compared to the prior year periods. These changes primarily correlated with the timing of utility sales.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and AEBITDA</w:t>
      </w:r>
    </w:p>
    <w:p>
      <w:pPr>
        <w:spacing w:after="0" w:line="14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Operating expenses decreased by $13 million for the three months ended September 30, 2026, as compared to the prior year period, largely due to $11 million in lower cost of revenue, primarily associated with cost of products related to Gaming machine sales, Gaming systems, and Table products.</w:t>
      </w:r>
    </w:p>
    <w:p>
      <w:pPr>
        <w:spacing w:after="0" w:line="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increased by $14 million for the nine months ended September 30, 2026, as compared to the prior year period, largely due to $25 million in higher D&amp;A related to increased Gaming operations investment, including $14 million related to Grover acquired intangibles. Operating expenses also increased due to $6 million in higher payroll and related expenses and $6 million in higher stock-based compensation expense, as compared to the prior year period. These increases were partially offset by $29 million in lower cost of revenue, primarily associated with cost of products related to Gaming machine sales, Gaming systems, and Table products.</w:t>
      </w:r>
    </w:p>
    <w:p>
      <w:pPr>
        <w:spacing w:after="0" w:line="11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AEBITDA increased by $7 million and $50 million for the three and nine months ended September 30, 2026, respectively, while AEBITDA as a percentage of revenue (“AEBITDA margin”) increased to 56% and 55% for the three and nine months ended September 30, 2026, respectively, as compared to 55% and 53%, respectively, for the prior year periods, primarily due to margin enhancement initiatives and a more favorable revenue mix.</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SCIPLAY</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SciPlay business segment is a leading developer and publisher of digital games on online platforms. SciPlay operates primarily in the social gaming market, which is characterized by gameplay online or on mobile devices that is social, competitive and self-directed in pace and session length. 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enhance gameplay. Once obtained, coins, chips and cards (either free or purchased) cannot be redeemed for cash nor exchanged for anything other than game play within SciPlay’s apps. SciPlay generates additional revenue through advertising arrangements in certain games, which was not material for the periods presented. Players who install these games receive free, unlimited gameplay that requires viewing of periodic in-game advertisements.</w:t>
      </w:r>
    </w:p>
    <w:p>
      <w:pPr>
        <w:spacing w:after="0" w:line="119"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SciPlay currently offers a variety of social casino games, including </w:t>
      </w:r>
      <w:r>
        <w:rPr>
          <w:rFonts w:ascii="Times New Roman" w:cs="Times New Roman" w:eastAsia="Times New Roman" w:hAnsi="Times New Roman"/>
          <w:sz w:val="18"/>
          <w:szCs w:val="18"/>
          <w:i w:val="1"/>
          <w:iCs w:val="1"/>
          <w:color w:val="auto"/>
        </w:rPr>
        <w:t>JACKPOT PARTY® Casino, QUICK HIT® Slots, GOLD FISH® Casino, 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FORTUNES® Slots, MONOPOLY Slots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HOT SHOT CASINO®</w:t>
      </w:r>
      <w:r>
        <w:rPr>
          <w:rFonts w:ascii="Times New Roman" w:cs="Times New Roman" w:eastAsia="Times New Roman" w:hAnsi="Times New Roman"/>
          <w:sz w:val="18"/>
          <w:szCs w:val="18"/>
          <w:color w:val="auto"/>
        </w:rPr>
        <w:t>. SciPlay continues to pursue its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8" w:name="page39"/>
    <w:bookmarkEnd w:id="38"/>
    <w:p>
      <w:pPr>
        <w:ind w:right="220"/>
        <w:spacing w:after="0" w:line="273" w:lineRule="auto"/>
        <w:rPr>
          <w:sz w:val="20"/>
          <w:szCs w:val="20"/>
          <w:color w:val="auto"/>
        </w:rPr>
      </w:pPr>
      <w:r>
        <w:rPr>
          <w:rFonts w:ascii="Times New Roman" w:cs="Times New Roman" w:eastAsia="Times New Roman" w:hAnsi="Times New Roman"/>
          <w:sz w:val="17"/>
          <w:szCs w:val="17"/>
          <w:color w:val="auto"/>
        </w:rPr>
        <w:t xml:space="preserve">strategy of expanding into the online games market. Current casual game titles include </w:t>
      </w:r>
      <w:r>
        <w:rPr>
          <w:rFonts w:ascii="Times New Roman" w:cs="Times New Roman" w:eastAsia="Times New Roman" w:hAnsi="Times New Roman"/>
          <w:sz w:val="17"/>
          <w:szCs w:val="17"/>
          <w:i w:val="1"/>
          <w:iCs w:val="1"/>
          <w:color w:val="auto"/>
        </w:rPr>
        <w:t>BINGO SHOWDOWN®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BACKGAMMON LIVE</w:t>
      </w:r>
      <w:r>
        <w:rPr>
          <w:rFonts w:ascii="Times New Roman" w:cs="Times New Roman" w:eastAsia="Times New Roman" w:hAnsi="Times New Roman"/>
          <w:sz w:val="17"/>
          <w:szCs w:val="17"/>
          <w:color w:val="auto"/>
        </w:rPr>
        <w:t xml:space="preserve">. SciPlay continually develops and tests various new games. SciPlay’s social casino games typically include slots-style game play and occasionally include table games-style game play, while its casual games blend solitaire-style or bingo game play with adventure game features. All of SciPlay’s games are offered and played across multiple platforms, including </w:t>
      </w:r>
      <w:r>
        <w:rPr>
          <w:rFonts w:ascii="Times New Roman" w:cs="Times New Roman" w:eastAsia="Times New Roman" w:hAnsi="Times New Roman"/>
          <w:sz w:val="17"/>
          <w:szCs w:val="17"/>
          <w:i w:val="1"/>
          <w:iCs w:val="1"/>
          <w:color w:val="auto"/>
        </w:rPr>
        <w:t>APPLE, GOOGLE, FACEBOOK, AMAZON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MICROSOFT</w:t>
      </w:r>
      <w:r>
        <w:rPr>
          <w:rFonts w:ascii="Times New Roman" w:cs="Times New Roman" w:eastAsia="Times New Roman" w:hAnsi="Times New Roman"/>
          <w:sz w:val="17"/>
          <w:szCs w:val="17"/>
          <w:color w:val="auto"/>
        </w:rPr>
        <w:t>. Revenue generated via SciPlay’s proprietary DTC platform continues to increase and represented approximately 29% of total SciPlay revenue for the nine months ended September 30, 2026.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4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SciPlay revenue decreased for the three and nine months ended September 30, 2026, primarily due to continued softness in the social casino free-to-play market and a decline in average monthly payers, partially offset by continued DTC revenue growth. The overall social casino industry is continuing to experience pressures from sweepstakes operators and remains challenged amid a mature social casino market. SciPlay continues to develop data-informed product, economy and live operations updates in their portfolio of games, pursue marketing innovation and develop new proprietary technology designed to enable performance stabilization and growth.</w:t>
      </w:r>
    </w:p>
    <w:p>
      <w:pPr>
        <w:spacing w:after="0" w:line="11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have a significant portion of SciPlay personnel located in Tel Aviv, Israel. In light of current circumstances in Israel and the Middle East, we are actively monitoring developments and are ready to redirect resources as needed to minimize impact on SciPlay operations. We do not have servers or infrastructure that are located in Israel that host our games. While we have not yet seen an impact on our business from current events, they could negatively affect the performance of the personnel in that area and have an adverse impact on our business if these events continue and/or escalate.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5795010" cy="2091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501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 Other primarily represents advertising revenue, which was not 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1280" w:type="dxa"/>
            <w:vAlign w:val="bottom"/>
            <w:gridSpan w:val="2"/>
            <w:vMerge w:val="restart"/>
          </w:tcPr>
          <w:p>
            <w:pPr>
              <w:jc w:val="center"/>
              <w:ind w:left="29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6"/>
                <w:szCs w:val="16"/>
                <w:color w:val="auto"/>
              </w:rPr>
            </w:pPr>
          </w:p>
        </w:tc>
        <w:tc>
          <w:tcPr>
            <w:tcW w:w="1300" w:type="dxa"/>
            <w:vAlign w:val="bottom"/>
            <w:gridSpan w:val="2"/>
            <w:vMerge w:val="restart"/>
          </w:tcPr>
          <w:p>
            <w:pPr>
              <w:jc w:val="center"/>
              <w:ind w:left="27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0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(in millions unless otherwise noted)</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92"/>
              <w:spacing w:after="0" w:line="17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center"/>
              <w:ind w:left="292"/>
              <w:spacing w:after="0" w:line="173" w:lineRule="exact"/>
              <w:rPr>
                <w:sz w:val="20"/>
                <w:szCs w:val="20"/>
                <w:color w:val="auto"/>
              </w:rPr>
            </w:pPr>
            <w:r>
              <w:rPr>
                <w:rFonts w:ascii="Times New Roman" w:cs="Times New Roman" w:eastAsia="Times New Roman" w:hAnsi="Times New Roman"/>
                <w:sz w:val="16"/>
                <w:szCs w:val="16"/>
                <w:b w:val="1"/>
                <w:bCs w:val="1"/>
                <w:color w:val="auto"/>
                <w:w w:val="99"/>
              </w:rPr>
              <w:t>2026 vs. 2025</w:t>
            </w: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12"/>
              <w:spacing w:after="0" w:line="17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left="292"/>
              <w:spacing w:after="0" w:line="173" w:lineRule="exact"/>
              <w:rPr>
                <w:sz w:val="20"/>
                <w:szCs w:val="20"/>
                <w:color w:val="auto"/>
              </w:rPr>
            </w:pPr>
            <w:r>
              <w:rPr>
                <w:rFonts w:ascii="Times New Roman" w:cs="Times New Roman" w:eastAsia="Times New Roman" w:hAnsi="Times New Roman"/>
                <w:sz w:val="16"/>
                <w:szCs w:val="16"/>
                <w:b w:val="1"/>
                <w:bCs w:val="1"/>
                <w:color w:val="auto"/>
              </w:rPr>
              <w:t>2026 vs. 2025</w:t>
            </w: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Third-party platforms and other</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Direct-to-consumer platforms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KPIs: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In-App Purchases: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340" w:type="dxa"/>
            <w:vAlign w:val="bottom"/>
            <w:tcBorders>
              <w:top w:val="single" w:sz="8" w:color="auto"/>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w w:val="95"/>
              </w:rPr>
              <w:t>Average MAU</w:t>
            </w:r>
            <w:r>
              <w:rPr>
                <w:rFonts w:ascii="Times New Roman" w:cs="Times New Roman" w:eastAsia="Times New Roman" w:hAnsi="Times New Roman"/>
                <w:sz w:val="23"/>
                <w:szCs w:val="23"/>
                <w:color w:val="auto"/>
                <w:w w:val="95"/>
                <w:vertAlign w:val="superscript"/>
              </w:rPr>
              <w:t>(2)</w:t>
            </w:r>
          </w:p>
        </w:tc>
        <w:tc>
          <w:tcPr>
            <w:tcW w:w="1560" w:type="dxa"/>
            <w:vAlign w:val="bottom"/>
            <w:tcBorders>
              <w:top w:val="single" w:sz="8" w:color="CCEEFF"/>
            </w:tcBorders>
            <w:gridSpan w:val="2"/>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(0.6)</w:t>
            </w:r>
          </w:p>
        </w:tc>
        <w:tc>
          <w:tcPr>
            <w:tcW w:w="5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60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DAU</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ARPDAU</w:t>
            </w:r>
            <w:r>
              <w:rPr>
                <w:rFonts w:ascii="Times New Roman" w:cs="Times New Roman" w:eastAsia="Times New Roman" w:hAnsi="Times New Roman"/>
                <w:sz w:val="23"/>
                <w:szCs w:val="23"/>
                <w:color w:val="auto"/>
                <w:vertAlign w:val="superscript"/>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(0.05)</w:t>
            </w:r>
          </w:p>
        </w:tc>
        <w:tc>
          <w:tcPr>
            <w:tcW w:w="5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6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MPUs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(in thousands)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(88)</w:t>
            </w: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AMRPPU</w:t>
            </w:r>
            <w:r>
              <w:rPr>
                <w:rFonts w:ascii="Times New Roman" w:cs="Times New Roman" w:eastAsia="Times New Roman" w:hAnsi="Times New Roman"/>
                <w:sz w:val="23"/>
                <w:szCs w:val="23"/>
                <w:color w:val="auto"/>
                <w:vertAlign w:val="superscript"/>
              </w:rPr>
              <w:t>(6)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132.80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126.23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6.57</w:t>
            </w:r>
          </w:p>
        </w:tc>
        <w:tc>
          <w:tcPr>
            <w:tcW w:w="5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130.80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7.05</w:t>
            </w:r>
          </w:p>
        </w:tc>
        <w:tc>
          <w:tcPr>
            <w:tcW w:w="6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Payer Conversion Rate</w:t>
            </w:r>
            <w:r>
              <w:rPr>
                <w:rFonts w:ascii="Times New Roman" w:cs="Times New Roman" w:eastAsia="Times New Roman" w:hAnsi="Times New Roman"/>
                <w:sz w:val="23"/>
                <w:szCs w:val="23"/>
                <w:color w:val="auto"/>
                <w:vertAlign w:val="superscript"/>
              </w:rPr>
              <w:t>(7)</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w:t>
            </w:r>
          </w:p>
        </w:tc>
        <w:tc>
          <w:tcPr>
            <w:tcW w:w="5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ind w:left="20"/>
        <w:spacing w:after="0" w:line="231" w:lineRule="auto"/>
        <w:rPr>
          <w:sz w:val="20"/>
          <w:szCs w:val="20"/>
          <w:color w:val="auto"/>
        </w:rPr>
      </w:pPr>
      <w:r>
        <w:rPr>
          <w:rFonts w:ascii="Times New Roman" w:cs="Times New Roman" w:eastAsia="Times New Roman" w:hAnsi="Times New Roman"/>
          <w:sz w:val="14"/>
          <w:szCs w:val="14"/>
          <w:color w:val="auto"/>
        </w:rPr>
        <w:t>nm = not meaningful.</w:t>
      </w:r>
    </w:p>
    <w:p>
      <w:pPr>
        <w:ind w:left="20"/>
        <w:spacing w:after="0" w:line="201" w:lineRule="auto"/>
        <w:rPr>
          <w:sz w:val="20"/>
          <w:szCs w:val="20"/>
          <w:color w:val="auto"/>
        </w:rPr>
      </w:pPr>
      <w:r>
        <w:rPr>
          <w:rFonts w:ascii="Times New Roman" w:cs="Times New Roman" w:eastAsia="Times New Roman" w:hAnsi="Times New Roman"/>
          <w:sz w:val="14"/>
          <w:szCs w:val="14"/>
          <w:color w:val="auto"/>
        </w:rPr>
        <w:t>pp = percentage points.</w:t>
      </w:r>
    </w:p>
    <w:p>
      <w:pPr>
        <w:ind w:left="220" w:hanging="194"/>
        <w:spacing w:after="0" w:line="222" w:lineRule="auto"/>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primarily represents advertising revenue, which was not material for the periods presented.</w:t>
      </w:r>
    </w:p>
    <w:p>
      <w:pPr>
        <w:ind w:left="20" w:right="160" w:firstLine="6"/>
        <w:spacing w:after="0" w:line="211" w:lineRule="auto"/>
        <w:tabs>
          <w:tab w:leader="none" w:pos="2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MAU = Monthly Active Users is a count of visitors to our sites during a month. An individual who plays multiple games or from multiple devices may, in certain circumstances, be counted more than once. However, we use third-party data to limit the occurrence of multiple counting.</w:t>
      </w:r>
    </w:p>
    <w:p>
      <w:pPr>
        <w:ind w:left="20" w:right="200" w:firstLine="6"/>
        <w:spacing w:after="0" w:line="221" w:lineRule="auto"/>
        <w:tabs>
          <w:tab w:leader="none" w:pos="2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DAU = Daily Active Users is a count of visitors to our sites during a day. An individual who plays multiple games or from multiple devices may, in certain circumstances, be counted more than once. However, we use third-party data to limit the occurrence of multiple counting.</w:t>
      </w:r>
    </w:p>
    <w:p>
      <w:pPr>
        <w:ind w:left="220" w:hanging="194"/>
        <w:spacing w:after="0" w:line="201" w:lineRule="auto"/>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ARPDAU = Average Revenue Per DAU is calculated by dividing revenue for a period by the DAU for the period by the number of days for the period.</w:t>
      </w:r>
    </w:p>
    <w:p>
      <w:pPr>
        <w:ind w:left="220" w:hanging="194"/>
        <w:spacing w:after="0" w:line="221" w:lineRule="auto"/>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MPU = Monthly Paying Users is the number of individual users who made an in-game purchase during a particular month.</w:t>
      </w:r>
    </w:p>
    <w:p>
      <w:pPr>
        <w:ind w:left="220" w:hanging="194"/>
        <w:spacing w:after="0" w:line="221" w:lineRule="auto"/>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AMRPPU = Average Monthly Revenue Per Paying User is calculated by dividing average monthly revenue by average MPUs for the applicable time period.</w:t>
      </w:r>
    </w:p>
    <w:p>
      <w:pPr>
        <w:ind w:left="220" w:hanging="194"/>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Payer conversion rate is calculated by dividing average MPU for the period by the average MAU for the same period.</w:t>
      </w:r>
    </w:p>
    <w:p>
      <w:pPr>
        <w:spacing w:after="0" w:line="23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SciPlay revenue decreased by 12% and 10% for the three and nine months ended September 30, 2026, respectively, as compared to the prior year periods, due to continued softness of the social casino free-to-play market and a decline in average monthly payers, partially offset by continued DTC revenue growth. DTC revenue increased by 33% and 51% for the three and nine months ended September 30, 2026, respectively, as compared to the prior year periods.</w:t>
      </w:r>
    </w:p>
    <w:p>
      <w:pPr>
        <w:spacing w:after="0" w:line="11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Average MAU and average MPU for the three and nine months ended September 30, 2026 decreased due to the turnover in users. ARPDAU decreased while AMRPPU increased, despite payer conversion decreasing, as SciPlay continues to enhance content and features.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Payer conversion rates decreased, as average MPU declined by a greater percentage than average MAU.</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and AEBITDA</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Operating expenses decreased 15% and 10% for the three and nine months ended September 30, 2026, respectively, as compared to the prior year periods, primarily driven by lower cost of revenue in correlation with lower revenue and higher margin on our DTC platform revenue. The decreases were also driven by lower payroll and related expenses of $8 million for both periods and lower stock-based compensation of $4 million and $7 million for the three and nine months ended September 30, 2026, respectively, as compared to the prior year periods. Operating expenses for the nine months ended September 30, 2026 were further affected by lower user acquisition costs of $12 million, higher D&amp;A of $10 million, and higher Restructuring and other of $8 million. For the three and nine months ended September 30, 2026, operating expenses benefited from a $7 million research and development tax credit related to eligible 2026 year-to-date expenditures at our studio in Israel.</w:t>
      </w:r>
    </w:p>
    <w:p>
      <w:pPr>
        <w:spacing w:after="0" w:line="1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AEBITDA for the three months ended September 30, 2026 decreased by $4 million to $67 million, as compared to the prior year period, and decreased by $5 million to $204 million for the nine months ended September 30, 2026, as compared to the prior year period. AEBITDA margin increased by 3 percentage points for both periods to 39% and 38%, respectively, primarily due to revenue generated via our proprietary DTC platform, which yields higher margins, along with lower operating expenses, as described above.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iGAMING</w:t>
      </w:r>
    </w:p>
    <w:p>
      <w:pPr>
        <w:spacing w:after="0" w:line="162"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Our iGaming business segment provides a comprehensive suite of digital gaming content, distribution platforms and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a player account management system which offers a wide range of reporting and administrative functions and tools providing operators full control over all areas of digital gaming operations. Generally, we host the play of our game content, which is integrated with the online casino operators’ websites.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continue to expand our customer base and capitalize on growth in the North American and international markets, including emerging markets, by leveraging our industry leading platforms, content and solutions, as well as investing in our ability to scale our own original U.S. and international land-based content offering.</w:t>
      </w:r>
    </w:p>
    <w:p>
      <w:pPr>
        <w:spacing w:after="0" w:line="108"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2025, the U.K. Government’s Autumn Budget increased gambling duties that increase tax liabilities for our customers and consequently impact our revenue and earnings. These duties became effective April 1, 2026, and we continue to monitor the impact on our iGaming segment, which includes U.K. revenue representing approximately 15% to 20% of total iGaming revenue subject to this tax. See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within our 2025 10-K for further information regarding U.K. Government gaming tax changes.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5795010" cy="2082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501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iGaming revenue for the three and nine months ended September 30, 2026 increased 13% and 15%, respectively, as compared to the prior year periods. Revenue growth was primarily driven by continuing momentum in the North American market underpinned by 1PP growth and the expansion of our partner network, partially offset by increased U.K. gambling duties, which became effective on April 1, 2026. Wagers processed through our Open Gaming System for the three and nine months ended September 30, 2026 increased to $31.7 billion and $92.9 billion, respectively, compared to $28.0 billion and $79.8 billion during the prior year periods.</w:t>
      </w:r>
    </w:p>
    <w:p>
      <w:pPr>
        <w:spacing w:after="0" w:line="10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Operating expenses increased 9% and 6% for the three and nine months ended September 30, 2026, respectively, as higher costs in correlation with higher revenues were partially offset by $1 million and $8 million, respectively, in lower restructuring costs, largely related to the discontinuation of our Live Casino operations in the prior year periods.</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AEBITDA increased 9% and 16% for the three and nine months ended September 30, 2026, respectively. AEBITDA margin decreased to 38% for the three months ended September 30, 2026, as compared to 40% in the prior year period, primarily due to revenue mix and effects from increased U.K. gambling duties, while AEBITDA margin increased to 37% for the nine months ended September 30, 2026, as compared to 36% in the prior year period, primarily due to operational efficiencies.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that any recently issued accounting guidance will have a significant effect on our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policies regarding our critical accounting estimates, see “Critical Accounting Estimates” in </w:t>
      </w:r>
      <w:r>
        <w:rPr>
          <w:rFonts w:ascii="Times New Roman" w:cs="Times New Roman" w:eastAsia="Times New Roman" w:hAnsi="Times New Roman"/>
          <w:sz w:val="18"/>
          <w:szCs w:val="18"/>
          <w:i w:val="1"/>
          <w:iCs w:val="1"/>
          <w:color w:val="auto"/>
        </w:rPr>
        <w:t>Part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2025 10-K.</w:t>
      </w:r>
    </w:p>
    <w:p>
      <w:pPr>
        <w:spacing w:after="0" w:line="93"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significant changes in our critical accounting estimate policies or the application of those policies to our condensed consolidated financial statements from those presented in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2025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WORKING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Available Liquidity</w:t>
      </w:r>
    </w:p>
    <w:p>
      <w:pPr>
        <w:spacing w:after="0" w:line="160"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our principal sources of liquidity, other than cash flows provided by operating activities, were cash and cash equivalents as well as amounts available under the LNWI Revolver.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Available Revolver Capacity</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80" w:type="dxa"/>
            <w:vAlign w:val="bottom"/>
            <w:tcBorders>
              <w:bottom w:val="single" w:sz="8" w:color="auto"/>
            </w:tcBorders>
          </w:tcPr>
          <w:p>
            <w:pPr>
              <w:spacing w:after="0"/>
              <w:rPr>
                <w:sz w:val="18"/>
                <w:szCs w:val="18"/>
                <w:color w:val="auto"/>
              </w:rPr>
            </w:pPr>
          </w:p>
        </w:tc>
      </w:tr>
      <w:tr>
        <w:trPr>
          <w:trHeight w:val="175"/>
        </w:trPr>
        <w:tc>
          <w:tcPr>
            <w:tcW w:w="70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5"/>
                <w:szCs w:val="15"/>
                <w:color w:val="auto"/>
              </w:rPr>
            </w:pPr>
          </w:p>
        </w:tc>
        <w:tc>
          <w:tcPr>
            <w:tcW w:w="1920" w:type="dxa"/>
            <w:vAlign w:val="bottom"/>
            <w:gridSpan w:val="2"/>
          </w:tcPr>
          <w:p>
            <w:pPr>
              <w:ind w:left="120"/>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5"/>
                <w:szCs w:val="15"/>
                <w:color w:val="auto"/>
              </w:rPr>
            </w:pPr>
          </w:p>
        </w:tc>
        <w:tc>
          <w:tcPr>
            <w:tcW w:w="1780" w:type="dxa"/>
            <w:vAlign w:val="bottom"/>
          </w:tcPr>
          <w:p>
            <w:pPr>
              <w:jc w:val="right"/>
              <w:ind w:right="272"/>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
        </w:trPr>
        <w:tc>
          <w:tcPr>
            <w:tcW w:w="84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Revolver capacity</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Revolver capacity drawn</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70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Letters of credit</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7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Total cash held by our foreign subsidiaries was $116 million and $156 million as of September 30, 2026 and December 31, 2025, respectively. We believe that substantially all cash held outside the U.S. is free from legal encumbrances or similar restrictions that would prevent it from being available to meet our global liquidity needs.</w:t>
      </w:r>
    </w:p>
    <w:p>
      <w:pPr>
        <w:spacing w:after="0" w:line="10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Gaming operations generally require significant upfront capital expenditures, and we may need to incur additional capital expenditures in order to retain or increase market share and continue our product investments. Other capital requirements for the near term primarily include debt principal and interest payments and also include purchase obligations and supply contracts, license agreement minimum guaranteed payments and lease obligations. There have been no material changes to our capital requirements disclosed in our 2025 10-K.</w:t>
      </w:r>
    </w:p>
    <w:p>
      <w:pPr>
        <w:spacing w:after="0" w:line="11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other obligations depends on our ability to generate cash in the future. We may, from time to time, repurchase or otherwise repay, retire or refinance our debt, through our subsidiaries or otherwise. We may also repurchase shares of our outstanding common stock (including CDIs) through our Board-approved share repurchase program, up to an aggregate amount of $1.5 billion through June 12, 2027. During the nine months ended September 30, 2026, we repurchased approximately 1.8 million CDIs at an aggregate cost of $156 million (excluding excise taxes). In addition, 0.4 million CDIs were purchased on the open market for a total cost of $30 million, and the CDIs are held in trust by the Company's equity plan administrator for future issuance upon the vesting or exercise of Company equity awards. We have retired all treasury shares, excluding those held in trust for purposes of our equity incentive plan, and restored such shares to the status of authorized but unissued shares in accordance with the Nevada Revised Statutes. All future shares (including CDIs) repurchased under our share repurchase program will also be retired and restored to the status of authorized but unissued shares. All future shares (including CDIs) held in trust for purposes of our equity incentive plan will not be retired or restored to the status of authorized but unissued shares.</w:t>
      </w:r>
    </w:p>
    <w:p>
      <w:pPr>
        <w:spacing w:after="0" w:line="11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the event we pursue significant acquisitions or other expansion opportunities, or conduct significant repurchases of our outstanding securities, we may need to raise additional capital, either through the public or private issuance of equity or debt securities or through additional borrowings under our existing or additional financing arrangements, which sources of funds may not necessarily be available on terms acceptable to us, or at all. If we do not have adequate liquidity to support these activities, we may be unable to obtain financing for these cash needs on favorable terms or at all. For additional information regarding our cash needs and related risks, see “Risk Factors” under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in our 2025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2" w:name="page43"/>
    <w:bookmarkEnd w:id="42"/>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January 22, 2026, we amended the LNWI Credit Agreement and reduced the applicable margin on the LNWI Term Loan B. Following the amendment, the interest rate for the Term Loan B is either (i) the Adjusted Term SOFR Rate (as defined in the LNWI Credit Agreement) plus 2.00% per annum or (ii) a base rate plus 1.00% per annum.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Summary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8"/>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18"/>
                <w:szCs w:val="18"/>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4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493"/>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13"/>
              <w:spacing w:after="0" w:line="175" w:lineRule="exact"/>
              <w:rPr>
                <w:sz w:val="20"/>
                <w:szCs w:val="20"/>
                <w:color w:val="auto"/>
              </w:rPr>
            </w:pPr>
            <w:r>
              <w:rPr>
                <w:rFonts w:ascii="Times New Roman" w:cs="Times New Roman" w:eastAsia="Times New Roman" w:hAnsi="Times New Roman"/>
                <w:sz w:val="16"/>
                <w:szCs w:val="16"/>
                <w:b w:val="1"/>
                <w:bCs w:val="1"/>
                <w:color w:val="auto"/>
              </w:rPr>
              <w:t>2026 vs. 2025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4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46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24"/>
                <w:szCs w:val="24"/>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640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13"/>
              <w:spacing w:after="0" w:line="172" w:lineRule="exact"/>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12"/>
              <w:spacing w:after="0" w:line="172"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113"/>
              <w:spacing w:after="0" w:line="172" w:lineRule="exact"/>
              <w:rPr>
                <w:sz w:val="20"/>
                <w:szCs w:val="20"/>
                <w:color w:val="auto"/>
              </w:rPr>
            </w:pPr>
            <w:r>
              <w:rPr>
                <w:rFonts w:ascii="Times New Roman" w:cs="Times New Roman" w:eastAsia="Times New Roman" w:hAnsi="Times New Roman"/>
                <w:sz w:val="16"/>
                <w:szCs w:val="16"/>
                <w:b w:val="1"/>
                <w:bCs w:val="1"/>
                <w:color w:val="auto"/>
              </w:rPr>
              <w:t>2026 vs. 2025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 accounts, excluding the effects of acquisition</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primarily due to earnings growth coupled with favorable changes in working capital accounts. Changes in working capital accounts for the nine months ended September 30, 2026, as compared to the prior year period, improved primarily due to timing of receivables collections and payment of income taxes over the current year period, partially offset by $66 million in higher legal settlement payments during 2026.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primarily due to the Grover acquisition in the prior year period, partially offset by higher capital expenditures in the current year period, primarily driven by Gaming operations growth (inclusive of Grover).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4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Net cash (used in) provided by financing activities decreased primarily as a result of net borrowings incurred in the prior year period, partially offset by fewer purchases of our outstanding common stock (including CDIs). The prior year included $800 million of borrowings incurred under the LNWI Term Loan A, which was used to fund the Grover acquisition. During the nine months ended September 30, 2026 and 2025, we paid $193 million and $380 million, respectively, to purchase our common stock (including CDIs) (including $7 million and $3 million in excise taxes paid, respectively). During the nine months ended September 30, 2026, purchases of our outstanding common stock included 0.4 million CDIs, for approximately $30 million, that are held in trust by the Company's equity plan administrator and reserved for future issuance upon the vesting or exercise of Company equity awards.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and Other Debt</w:t>
      </w:r>
    </w:p>
    <w:p>
      <w:pPr>
        <w:spacing w:after="0" w:line="16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our credit agreements and other debt, interest rate risk and interest rate hedging instruments, see Notes 14 and 15 and </w:t>
      </w:r>
      <w:r>
        <w:rPr>
          <w:rFonts w:ascii="Times New Roman" w:cs="Times New Roman" w:eastAsia="Times New Roman" w:hAnsi="Times New Roman"/>
          <w:sz w:val="18"/>
          <w:szCs w:val="18"/>
          <w:i w:val="1"/>
          <w:iCs w:val="1"/>
          <w:color w:val="auto"/>
        </w:rPr>
        <w:t>Part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7A</w:t>
      </w:r>
      <w:r>
        <w:rPr>
          <w:rFonts w:ascii="Times New Roman" w:cs="Times New Roman" w:eastAsia="Times New Roman" w:hAnsi="Times New Roman"/>
          <w:sz w:val="18"/>
          <w:szCs w:val="18"/>
          <w:color w:val="auto"/>
        </w:rPr>
        <w:t xml:space="preserve"> “Disclosures About Market Risk” in our 2025 10-K as well as Notes 10 and 11 and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xml:space="preserve"> “Quantitative and Qualitative Disclosures About Market Risk” below in this Quarterly Report on Form 10-Q.</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2026, we did not have any significant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rates and commodity prices. The following describes our financial instruments which expose us to market risk.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the face value of long-term debt was $5.0 billion, including $3.0 billion of variable rate obligations that fluctuate based on SOFR. Assuming a constant outstanding balance for our variable-rate long-term debt and excluding the impact of interest rate swap contracts, a hypothetical 1% change in interest rates would result in interest expense changing by approximately $30 million. All of our interest rate sensitive financial instruments are held for purposes other than trading.</w:t>
      </w:r>
    </w:p>
    <w:p>
      <w:pPr>
        <w:spacing w:after="0" w:line="11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April 2022, we entered into interest rate swap contracts to hedge a portion of our interest expense associated with our variable rate debt and effectively fix the interest rate that we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spacing w:after="0" w:line="99" w:lineRule="exact"/>
        <w:rPr>
          <w:sz w:val="20"/>
          <w:szCs w:val="20"/>
          <w:color w:val="auto"/>
        </w:rPr>
      </w:pPr>
    </w:p>
    <w:p>
      <w:pPr>
        <w:ind w:right="1680" w:firstLine="648"/>
        <w:spacing w:after="0" w:line="422" w:lineRule="auto"/>
        <w:rPr>
          <w:sz w:val="20"/>
          <w:szCs w:val="20"/>
          <w:color w:val="auto"/>
        </w:rPr>
      </w:pPr>
      <w:r>
        <w:rPr>
          <w:rFonts w:ascii="Times New Roman" w:cs="Times New Roman" w:eastAsia="Times New Roman" w:hAnsi="Times New Roman"/>
          <w:sz w:val="18"/>
          <w:szCs w:val="18"/>
          <w:color w:val="auto"/>
        </w:rPr>
        <w:t xml:space="preserve">For additional information regarding our long-term debt and interest rate swap contracts, see Notes 10 and 11, respectively. </w:t>
      </w:r>
      <w:r>
        <w:rPr>
          <w:rFonts w:ascii="Times New Roman" w:cs="Times New Roman" w:eastAsia="Times New Roman" w:hAnsi="Times New Roman"/>
          <w:sz w:val="18"/>
          <w:szCs w:val="18"/>
          <w:b w:val="1"/>
          <w:bCs w:val="1"/>
          <w:color w:val="auto"/>
        </w:rPr>
        <w:t>Item 4. Controls and Procedures</w:t>
      </w:r>
    </w:p>
    <w:p>
      <w:pPr>
        <w:spacing w:after="0" w:line="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as of September 30, 2026.</w:t>
      </w:r>
    </w:p>
    <w:p>
      <w:pPr>
        <w:spacing w:after="0" w:line="9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2026 that have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discussion of our legal proceedings, see Note 15 in this Quarterly Report on Form 10-Q and Note 19 in our 2025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There have been no material changes in our risk factors from those disclosed under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included in our 2025 10-K.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repurchased no CDIs under our share repurchase program during the three months ended September 30, 2026. We directed the purchase of 0.4 million CDIs held in trust during the three months ended September 30, 2026, as described below.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price per share)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8"/>
              </w:rPr>
              <w:t>Total Cost of</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center"/>
              <w:ind w:right="54"/>
              <w:spacing w:after="0" w:line="161" w:lineRule="exact"/>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4"/>
                <w:szCs w:val="14"/>
                <w:color w:val="auto"/>
              </w:rPr>
            </w:pPr>
          </w:p>
        </w:tc>
        <w:tc>
          <w:tcPr>
            <w:tcW w:w="18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Average Price Paid per</w:t>
            </w:r>
          </w:p>
        </w:tc>
        <w:tc>
          <w:tcPr>
            <w:tcW w:w="18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7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Repurchases Under the</w:t>
            </w:r>
          </w:p>
        </w:tc>
        <w:tc>
          <w:tcPr>
            <w:tcW w:w="80" w:type="dxa"/>
            <w:vAlign w:val="bottom"/>
          </w:tcPr>
          <w:p>
            <w:pPr>
              <w:spacing w:after="0"/>
              <w:rPr>
                <w:sz w:val="14"/>
                <w:szCs w:val="14"/>
                <w:color w:val="auto"/>
              </w:rPr>
            </w:pPr>
          </w:p>
        </w:tc>
        <w:tc>
          <w:tcPr>
            <w:tcW w:w="17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22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8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240" w:type="dxa"/>
            <w:vAlign w:val="bottom"/>
          </w:tcPr>
          <w:p>
            <w:pPr>
              <w:spacing w:after="0"/>
              <w:rPr>
                <w:sz w:val="14"/>
                <w:szCs w:val="14"/>
                <w:color w:val="auto"/>
              </w:rPr>
            </w:pPr>
          </w:p>
        </w:tc>
        <w:tc>
          <w:tcPr>
            <w:tcW w:w="1500" w:type="dxa"/>
            <w:vAlign w:val="bottom"/>
          </w:tcPr>
          <w:p>
            <w:pPr>
              <w:jc w:val="center"/>
              <w:ind w:right="174"/>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80" w:type="dxa"/>
            <w:vAlign w:val="bottom"/>
          </w:tcPr>
          <w:p>
            <w:pPr>
              <w:spacing w:after="0"/>
              <w:rPr>
                <w:sz w:val="14"/>
                <w:szCs w:val="14"/>
                <w:color w:val="auto"/>
              </w:rPr>
            </w:pPr>
          </w:p>
        </w:tc>
        <w:tc>
          <w:tcPr>
            <w:tcW w:w="174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Under the Programs (in</w:t>
            </w:r>
          </w:p>
        </w:tc>
        <w:tc>
          <w:tcPr>
            <w:tcW w:w="0" w:type="dxa"/>
            <w:vAlign w:val="bottom"/>
          </w:tcPr>
          <w:p>
            <w:pPr>
              <w:spacing w:after="0"/>
              <w:rPr>
                <w:sz w:val="1"/>
                <w:szCs w:val="1"/>
                <w:color w:val="auto"/>
              </w:rPr>
            </w:pPr>
          </w:p>
        </w:tc>
      </w:tr>
      <w:tr>
        <w:trPr>
          <w:trHeight w:val="216"/>
        </w:trPr>
        <w:tc>
          <w:tcPr>
            <w:tcW w:w="2220" w:type="dxa"/>
            <w:vAlign w:val="bottom"/>
            <w:gridSpan w:val="2"/>
            <w:vMerge w:val="continue"/>
          </w:tcPr>
          <w:p>
            <w:pPr>
              <w:spacing w:after="0"/>
              <w:rPr>
                <w:sz w:val="18"/>
                <w:szCs w:val="18"/>
                <w:color w:val="auto"/>
              </w:rPr>
            </w:pPr>
          </w:p>
        </w:tc>
        <w:tc>
          <w:tcPr>
            <w:tcW w:w="1720" w:type="dxa"/>
            <w:vAlign w:val="bottom"/>
          </w:tcPr>
          <w:p>
            <w:pPr>
              <w:jc w:val="right"/>
              <w:ind w:right="353"/>
              <w:spacing w:after="0" w:line="216" w:lineRule="exact"/>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440"/>
              <w:spacing w:after="0" w:line="216" w:lineRule="exact"/>
              <w:rPr>
                <w:sz w:val="20"/>
                <w:szCs w:val="20"/>
                <w:color w:val="auto"/>
              </w:rPr>
            </w:pPr>
            <w:r>
              <w:rPr>
                <w:rFonts w:ascii="Times New Roman" w:cs="Times New Roman" w:eastAsia="Times New Roman" w:hAnsi="Times New Roman"/>
                <w:sz w:val="16"/>
                <w:szCs w:val="16"/>
                <w:b w:val="1"/>
                <w:bCs w:val="1"/>
                <w:color w:val="auto"/>
                <w:w w:val="95"/>
              </w:rPr>
              <w:t>Share</w:t>
            </w:r>
            <w:r>
              <w:rPr>
                <w:rFonts w:ascii="Times New Roman" w:cs="Times New Roman" w:eastAsia="Times New Roman" w:hAnsi="Times New Roman"/>
                <w:sz w:val="21"/>
                <w:szCs w:val="21"/>
                <w:b w:val="1"/>
                <w:bCs w:val="1"/>
                <w:color w:val="auto"/>
                <w:w w:val="95"/>
                <w:vertAlign w:val="superscript"/>
              </w:rPr>
              <w:t>(2)</w:t>
            </w:r>
          </w:p>
        </w:tc>
        <w:tc>
          <w:tcPr>
            <w:tcW w:w="182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5"/>
              </w:rPr>
              <w:t>Programs</w:t>
            </w:r>
            <w:r>
              <w:rPr>
                <w:rFonts w:ascii="Times New Roman" w:cs="Times New Roman" w:eastAsia="Times New Roman" w:hAnsi="Times New Roman"/>
                <w:sz w:val="21"/>
                <w:szCs w:val="21"/>
                <w:b w:val="1"/>
                <w:bCs w:val="1"/>
                <w:color w:val="auto"/>
                <w:w w:val="95"/>
                <w:vertAlign w:val="superscript"/>
              </w:rPr>
              <w:t>(3)</w:t>
            </w:r>
          </w:p>
        </w:tc>
        <w:tc>
          <w:tcPr>
            <w:tcW w:w="240" w:type="dxa"/>
            <w:vAlign w:val="bottom"/>
          </w:tcPr>
          <w:p>
            <w:pPr>
              <w:spacing w:after="0"/>
              <w:rPr>
                <w:sz w:val="18"/>
                <w:szCs w:val="18"/>
                <w:color w:val="auto"/>
              </w:rPr>
            </w:pPr>
          </w:p>
        </w:tc>
        <w:tc>
          <w:tcPr>
            <w:tcW w:w="1500" w:type="dxa"/>
            <w:vAlign w:val="bottom"/>
          </w:tcPr>
          <w:p>
            <w:pPr>
              <w:jc w:val="center"/>
              <w:ind w:right="174"/>
              <w:spacing w:after="0" w:line="216" w:lineRule="exact"/>
              <w:rPr>
                <w:sz w:val="20"/>
                <w:szCs w:val="20"/>
                <w:color w:val="auto"/>
              </w:rPr>
            </w:pPr>
            <w:r>
              <w:rPr>
                <w:rFonts w:ascii="Times New Roman" w:cs="Times New Roman" w:eastAsia="Times New Roman" w:hAnsi="Times New Roman"/>
                <w:sz w:val="16"/>
                <w:szCs w:val="16"/>
                <w:b w:val="1"/>
                <w:bCs w:val="1"/>
                <w:color w:val="auto"/>
                <w:w w:val="97"/>
              </w:rPr>
              <w:t>(in millions)</w:t>
            </w:r>
            <w:r>
              <w:rPr>
                <w:rFonts w:ascii="Times New Roman" w:cs="Times New Roman" w:eastAsia="Times New Roman" w:hAnsi="Times New Roman"/>
                <w:sz w:val="21"/>
                <w:szCs w:val="21"/>
                <w:b w:val="1"/>
                <w:bCs w:val="1"/>
                <w:color w:val="auto"/>
                <w:w w:val="97"/>
                <w:vertAlign w:val="superscript"/>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center"/>
              <w:ind w:right="54"/>
              <w:spacing w:after="0" w:line="216" w:lineRule="exact"/>
              <w:rPr>
                <w:sz w:val="20"/>
                <w:szCs w:val="20"/>
                <w:color w:val="auto"/>
              </w:rPr>
            </w:pPr>
            <w:r>
              <w:rPr>
                <w:rFonts w:ascii="Times New Roman" w:cs="Times New Roman" w:eastAsia="Times New Roman" w:hAnsi="Times New Roman"/>
                <w:sz w:val="16"/>
                <w:szCs w:val="16"/>
                <w:b w:val="1"/>
                <w:bCs w:val="1"/>
                <w:color w:val="auto"/>
                <w:w w:val="97"/>
              </w:rPr>
              <w:t>millions)</w:t>
            </w:r>
            <w:r>
              <w:rPr>
                <w:rFonts w:ascii="Times New Roman" w:cs="Times New Roman" w:eastAsia="Times New Roman" w:hAnsi="Times New Roman"/>
                <w:sz w:val="21"/>
                <w:szCs w:val="21"/>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2120" w:type="dxa"/>
            <w:vAlign w:val="bottom"/>
            <w:tcBorders>
              <w:top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99"/>
              </w:rPr>
              <w:t>7/1/2026 - 7/31/2026</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21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9"/>
              </w:rPr>
              <w:t>8/1/2026 - 8/31/2026</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99"/>
              </w:rPr>
              <w:t>9/1/2026 - 9/30/2026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tcPr>
          <w:p>
            <w:pPr>
              <w:spacing w:after="0"/>
              <w:rPr>
                <w:sz w:val="19"/>
                <w:szCs w:val="19"/>
                <w:color w:val="auto"/>
              </w:rPr>
            </w:pPr>
          </w:p>
        </w:tc>
        <w:tc>
          <w:tcPr>
            <w:tcW w:w="1720" w:type="dxa"/>
            <w:vAlign w:val="bottom"/>
            <w:tcBorders>
              <w:top w:val="single" w:sz="8" w:color="auto"/>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0" w:right="220" w:firstLine="6"/>
        <w:spacing w:after="0" w:line="251" w:lineRule="auto"/>
        <w:tabs>
          <w:tab w:leader="none" w:pos="2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September 30, 2026, the Company directed the purchase of 0.4 million CDIs on the open market for a total cost of $30 million. These CDIs are reflected as treasury stock held in trust by the Company's equity plan administrator for future issuance upon the vesting or exercise of Company equity awards.</w:t>
      </w:r>
    </w:p>
    <w:p>
      <w:pPr>
        <w:ind w:left="20" w:right="280" w:firstLine="6"/>
        <w:spacing w:after="0" w:line="251" w:lineRule="auto"/>
        <w:tabs>
          <w:tab w:leader="none" w:pos="2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is calculated on a settlement basis and excludes excise tax. As of January 1, 2023, our share repurchases in excess of issuances are subject to a 1% excise tax enacted by the Inflation Reduction Act. Any excise tax incurred is recognized in stockholders’ equity as part of the cost basis of the shares acquired.</w:t>
      </w:r>
    </w:p>
    <w:p>
      <w:pPr>
        <w:ind w:left="20" w:right="100" w:firstLine="6"/>
        <w:spacing w:after="0" w:line="261" w:lineRule="auto"/>
        <w:tabs>
          <w:tab w:leader="none" w:pos="2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11, 2024, the Board approved a new share repurchase program under which the Company was authorized to repurchase from time to time through June 12, 2027, up to an aggregate amount of $1.0 billion in shares of our common stock (including CDIs). On July 31, 2025, the Board approved an increase of such share repurchase program from $1.0 billion to $1.5 billion.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14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three months ended September 30, 2026, no director or officer of the Company adopted or terminated a “Rule 10b5-1 trading arrangement” as such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60" w:type="dxa"/>
            <w:vAlign w:val="bottom"/>
            <w:gridSpan w:val="10"/>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960" w:type="dxa"/>
            <w:vAlign w:val="bottom"/>
            <w:gridSpan w:val="10"/>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9940" w:type="dxa"/>
            <w:vAlign w:val="bottom"/>
            <w:tcBorders>
              <w:top w:val="single" w:sz="8" w:color="auto"/>
            </w:tcBorders>
            <w:gridSpan w:val="14"/>
            <w:shd w:val="clear" w:color="auto" w:fill="CCEEFF"/>
          </w:tcPr>
          <w:p>
            <w:pPr>
              <w:spacing w:after="0" w:line="182"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Restated Articles of Incorporation of Light &amp; Wonder, Inc., filed with the Secretary of State of the State of Nevada on August 5, 2022</w:t>
              </w:r>
            </w:hyperlink>
          </w:p>
        </w:tc>
        <w:tc>
          <w:tcPr>
            <w:tcW w:w="0" w:type="dxa"/>
            <w:vAlign w:val="bottom"/>
          </w:tcPr>
          <w:p>
            <w:pPr>
              <w:spacing w:after="0"/>
              <w:rPr>
                <w:sz w:val="1"/>
                <w:szCs w:val="1"/>
                <w:color w:val="auto"/>
              </w:rPr>
            </w:pPr>
          </w:p>
        </w:tc>
      </w:tr>
      <w:tr>
        <w:trPr>
          <w:trHeight w:val="189"/>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40" w:type="dxa"/>
            <w:vAlign w:val="bottom"/>
            <w:tcBorders>
              <w:top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(incorporated by reference to Exhibit 3.1(a) to Light &amp; Wonder, Inc.’s Quarterly Report on Form 10-Q filed August 9, 2022).</w:t>
              </w:r>
            </w:hyperlink>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220" w:type="dxa"/>
            <w:vAlign w:val="bottom"/>
            <w:tcBorders>
              <w:top w:val="single" w:sz="8" w:color="0000FF"/>
            </w:tcBorders>
          </w:tcPr>
          <w:p>
            <w:pPr>
              <w:spacing w:after="0"/>
              <w:rPr>
                <w:sz w:val="12"/>
                <w:szCs w:val="12"/>
                <w:color w:val="auto"/>
              </w:rPr>
            </w:pPr>
          </w:p>
        </w:tc>
        <w:tc>
          <w:tcPr>
            <w:tcW w:w="2820" w:type="dxa"/>
            <w:vAlign w:val="bottom"/>
            <w:tcBorders>
              <w:top w:val="single" w:sz="8" w:color="0000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6"/>
                <w:szCs w:val="16"/>
                <w:color w:val="auto"/>
              </w:rPr>
            </w:pPr>
          </w:p>
        </w:tc>
        <w:tc>
          <w:tcPr>
            <w:tcW w:w="9940" w:type="dxa"/>
            <w:vAlign w:val="bottom"/>
            <w:gridSpan w:val="14"/>
            <w:shd w:val="clear" w:color="auto" w:fill="CCEEFF"/>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Fourth Amended and Restated Bylaws of Light &amp; Wonder, Inc., effective as of November 13, 2025 (incorporated by reference to Exhibit</w:t>
              </w:r>
            </w:hyperlink>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60" w:type="dxa"/>
            <w:vAlign w:val="bottom"/>
            <w:tcBorders>
              <w:top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Light &amp; Wonder, Inc.’s Current Report on Form 8-K filed November 14, 2025).</w:t>
              </w:r>
            </w:hyperlink>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220" w:type="dxa"/>
            <w:vAlign w:val="bottom"/>
            <w:tcBorders>
              <w:top w:val="single" w:sz="8" w:color="0000FF"/>
            </w:tcBorders>
          </w:tcPr>
          <w:p>
            <w:pPr>
              <w:spacing w:after="0"/>
              <w:rPr>
                <w:sz w:val="12"/>
                <w:szCs w:val="12"/>
                <w:color w:val="auto"/>
              </w:rPr>
            </w:pPr>
          </w:p>
        </w:tc>
        <w:tc>
          <w:tcPr>
            <w:tcW w:w="28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6"/>
                <w:szCs w:val="16"/>
                <w:color w:val="auto"/>
              </w:rPr>
            </w:pPr>
          </w:p>
        </w:tc>
        <w:tc>
          <w:tcPr>
            <w:tcW w:w="99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Letter from Deloitte &amp; Touche LLP, Independent Registered Public Accounting Firm, Regarding Unaudited Interim Financial</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60" w:type="dxa"/>
            <w:vAlign w:val="bottom"/>
            <w:tcBorders>
              <w:top w:val="single" w:sz="8" w:color="0000FF"/>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Information.(†)</w:t>
            </w:r>
          </w:p>
        </w:tc>
        <w:tc>
          <w:tcPr>
            <w:tcW w:w="6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220" w:type="dxa"/>
            <w:vAlign w:val="bottom"/>
            <w:tcBorders>
              <w:top w:val="single" w:sz="8" w:color="CCEEFF"/>
            </w:tcBorders>
          </w:tcPr>
          <w:p>
            <w:pPr>
              <w:spacing w:after="0"/>
              <w:rPr>
                <w:sz w:val="12"/>
                <w:szCs w:val="12"/>
                <w:color w:val="auto"/>
              </w:rPr>
            </w:pPr>
          </w:p>
        </w:tc>
        <w:tc>
          <w:tcPr>
            <w:tcW w:w="28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6"/>
                <w:szCs w:val="16"/>
                <w:color w:val="auto"/>
              </w:rPr>
            </w:pPr>
          </w:p>
        </w:tc>
        <w:tc>
          <w:tcPr>
            <w:tcW w:w="99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of Light &amp; Wonder, Inc. pursuant to Rule 13a-14(a), as adopted pursuant to Section 302 of</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700" w:type="dxa"/>
            <w:vAlign w:val="bottom"/>
            <w:tcBorders>
              <w:top w:val="single" w:sz="8" w:color="0000FF"/>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220" w:type="dxa"/>
            <w:vAlign w:val="bottom"/>
            <w:tcBorders>
              <w:top w:val="single" w:sz="8" w:color="CCEEFF"/>
            </w:tcBorders>
          </w:tcPr>
          <w:p>
            <w:pPr>
              <w:spacing w:after="0"/>
              <w:rPr>
                <w:sz w:val="12"/>
                <w:szCs w:val="12"/>
                <w:color w:val="auto"/>
              </w:rPr>
            </w:pPr>
          </w:p>
        </w:tc>
        <w:tc>
          <w:tcPr>
            <w:tcW w:w="28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6"/>
                <w:szCs w:val="16"/>
                <w:color w:val="auto"/>
              </w:rPr>
            </w:pPr>
          </w:p>
        </w:tc>
        <w:tc>
          <w:tcPr>
            <w:tcW w:w="99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Chief Financial Officer of Light &amp; Wonder, Inc. pursuant to Rule 13a-14(a), as adopted pursuant to Section 302 of the</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920" w:type="dxa"/>
            <w:vAlign w:val="bottom"/>
            <w:tcBorders>
              <w:top w:val="single" w:sz="8" w:color="0000FF"/>
            </w:tcBorders>
            <w:gridSpan w:val="1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220" w:type="dxa"/>
            <w:vAlign w:val="bottom"/>
            <w:tcBorders>
              <w:top w:val="single" w:sz="8" w:color="CCEEFF"/>
            </w:tcBorders>
          </w:tcPr>
          <w:p>
            <w:pPr>
              <w:spacing w:after="0"/>
              <w:rPr>
                <w:sz w:val="12"/>
                <w:szCs w:val="12"/>
                <w:color w:val="auto"/>
              </w:rPr>
            </w:pPr>
          </w:p>
        </w:tc>
        <w:tc>
          <w:tcPr>
            <w:tcW w:w="28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6"/>
                <w:szCs w:val="16"/>
                <w:color w:val="auto"/>
              </w:rPr>
            </w:pPr>
          </w:p>
        </w:tc>
        <w:tc>
          <w:tcPr>
            <w:tcW w:w="99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of Light &amp; Wonder, Inc. pursuant to 18 U.S.C. Section 1350, as adopted pursuant to Section</w:t>
            </w:r>
          </w:p>
        </w:tc>
        <w:tc>
          <w:tcPr>
            <w:tcW w:w="0" w:type="dxa"/>
            <w:vAlign w:val="bottom"/>
          </w:tcPr>
          <w:p>
            <w:pPr>
              <w:spacing w:after="0"/>
              <w:rPr>
                <w:sz w:val="1"/>
                <w:szCs w:val="1"/>
                <w:color w:val="auto"/>
              </w:rPr>
            </w:pPr>
          </w:p>
        </w:tc>
      </w:tr>
      <w:tr>
        <w:trPr>
          <w:trHeight w:val="189"/>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20" w:type="dxa"/>
            <w:vAlign w:val="bottom"/>
            <w:tcBorders>
              <w:top w:val="single" w:sz="8" w:color="0000FF"/>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20" w:type="dxa"/>
            <w:vAlign w:val="bottom"/>
            <w:tcBorders>
              <w:top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220" w:type="dxa"/>
            <w:vAlign w:val="bottom"/>
            <w:tcBorders>
              <w:top w:val="single" w:sz="8" w:color="CCEEFF"/>
            </w:tcBorders>
          </w:tcPr>
          <w:p>
            <w:pPr>
              <w:spacing w:after="0"/>
              <w:rPr>
                <w:sz w:val="12"/>
                <w:szCs w:val="12"/>
                <w:color w:val="auto"/>
              </w:rPr>
            </w:pPr>
          </w:p>
        </w:tc>
        <w:tc>
          <w:tcPr>
            <w:tcW w:w="28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6"/>
                <w:szCs w:val="16"/>
                <w:color w:val="auto"/>
              </w:rPr>
            </w:pPr>
          </w:p>
        </w:tc>
        <w:tc>
          <w:tcPr>
            <w:tcW w:w="99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of Light &amp; Wonder, Inc. pursuant to 18 U.S.C. Section 1350, as adopted pursuant to Section</w:t>
            </w:r>
          </w:p>
        </w:tc>
        <w:tc>
          <w:tcPr>
            <w:tcW w:w="0" w:type="dxa"/>
            <w:vAlign w:val="bottom"/>
          </w:tcPr>
          <w:p>
            <w:pPr>
              <w:spacing w:after="0"/>
              <w:rPr>
                <w:sz w:val="1"/>
                <w:szCs w:val="1"/>
                <w:color w:val="auto"/>
              </w:rPr>
            </w:pPr>
          </w:p>
        </w:tc>
      </w:tr>
      <w:tr>
        <w:trPr>
          <w:trHeight w:val="189"/>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760" w:type="dxa"/>
            <w:vAlign w:val="bottom"/>
            <w:tcBorders>
              <w:top w:val="single" w:sz="8" w:color="0000FF"/>
            </w:tcBorders>
            <w:gridSpan w:val="1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80" w:type="dxa"/>
            <w:vAlign w:val="bottom"/>
            <w:tcBorders>
              <w:top w:val="single" w:sz="8" w:color="CCEEFF"/>
            </w:tcBorders>
            <w:gridSpan w:val="4"/>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220" w:type="dxa"/>
            <w:vAlign w:val="bottom"/>
            <w:tcBorders>
              <w:top w:val="single" w:sz="8" w:color="CCEEFF"/>
            </w:tcBorders>
          </w:tcPr>
          <w:p>
            <w:pPr>
              <w:spacing w:after="0"/>
              <w:rPr>
                <w:sz w:val="12"/>
                <w:szCs w:val="12"/>
                <w:color w:val="auto"/>
              </w:rPr>
            </w:pPr>
          </w:p>
        </w:tc>
        <w:tc>
          <w:tcPr>
            <w:tcW w:w="28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101.INS</w:t>
            </w:r>
          </w:p>
        </w:tc>
        <w:tc>
          <w:tcPr>
            <w:tcW w:w="9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43"/>
        </w:trPr>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101.DEF</w:t>
            </w:r>
          </w:p>
        </w:tc>
        <w:tc>
          <w:tcPr>
            <w:tcW w:w="9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9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300" w:right="100" w:hanging="833"/>
        <w:spacing w:after="0" w:line="237"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266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LIGHT &amp; WONDER, INC.</w:t>
      </w:r>
    </w:p>
    <w:p>
      <w:pPr>
        <w:spacing w:after="0" w:line="27" w:lineRule="exact"/>
        <w:rPr>
          <w:sz w:val="20"/>
          <w:szCs w:val="20"/>
          <w:color w:val="auto"/>
        </w:rPr>
      </w:pPr>
    </w:p>
    <w:tbl>
      <w:tblPr>
        <w:tblLayout w:type="fixed"/>
        <w:tblInd w:w="4620" w:type="dxa"/>
        <w:tblCellMar>
          <w:top w:w="0" w:type="dxa"/>
          <w:left w:w="0" w:type="dxa"/>
          <w:bottom w:w="0" w:type="dxa"/>
          <w:right w:w="0" w:type="dxa"/>
        </w:tblCellMar>
      </w:tblPr>
      <w:tr>
        <w:trPr>
          <w:trHeight w:val="234"/>
        </w:trPr>
        <w:tc>
          <w:tcPr>
            <w:tcW w:w="1000" w:type="dxa"/>
            <w:vAlign w:val="bottom"/>
            <w:tcBorders>
              <w:top w:val="single" w:sz="8" w:color="auto"/>
            </w:tcBorders>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47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Oliver Chow</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000" w:type="dxa"/>
            <w:vAlign w:val="bottom"/>
            <w:vMerge w:val="continue"/>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Oliver Chow</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November 4,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4,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Board of Directors and Stockholders of</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Light &amp; Wonder, Inc.</w:t>
      </w:r>
    </w:p>
    <w:p>
      <w:pPr>
        <w:spacing w:after="0" w:line="2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2"/>
          <w:szCs w:val="22"/>
          <w:color w:val="auto"/>
        </w:rPr>
        <w:t>We are aware that our report dated November 4, 2026, on our review of the interim financial information of Light &amp; Wonder, Inc. appearing in this Quarterly Report on Form 10-Q for the quarter ended September 30, 2026, is incorporated by reference in Registration Statement Nos. 333-05811, 333-44983, 333-110141, 333-134043, 333-157638, 333-161232, 333-191817, 333-197948, 333-200463, 333-213432, 333-213434, 333-232987, 333-263188, and 333-275135 on Form S-8 and Nos. 333-74590, 333-84742, 333-110477, 333-112452, 333-124107, 333-141720, 333-155346-0, and 333-165743 on Form S-3.</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ectPr>
          <w:pgSz w:w="11900" w:h="16838" w:orient="portrait"/>
          <w:cols w:equalWidth="0" w:num="1">
            <w:col w:w="11240"/>
          </w:cols>
          <w:pgMar w:left="320" w:top="12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Matthew R. Wilson, certify that:</w:t>
      </w:r>
    </w:p>
    <w:p>
      <w:pPr>
        <w:spacing w:after="0" w:line="306" w:lineRule="exact"/>
        <w:rPr>
          <w:sz w:val="20"/>
          <w:szCs w:val="20"/>
          <w:color w:val="auto"/>
        </w:rPr>
      </w:pPr>
    </w:p>
    <w:p>
      <w:pPr>
        <w:ind w:left="920" w:hanging="324"/>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Light &amp; Wonder, Inc.;</w:t>
      </w:r>
    </w:p>
    <w:p>
      <w:pPr>
        <w:spacing w:after="0" w:line="144" w:lineRule="exact"/>
        <w:rPr>
          <w:rFonts w:ascii="Times New Roman" w:cs="Times New Roman" w:eastAsia="Times New Roman" w:hAnsi="Times New Roman"/>
          <w:sz w:val="18"/>
          <w:szCs w:val="18"/>
          <w:color w:val="auto"/>
        </w:rPr>
      </w:pPr>
    </w:p>
    <w:p>
      <w:pPr>
        <w:jc w:val="both"/>
        <w:ind w:left="920" w:right="60" w:hanging="324"/>
        <w:spacing w:after="0" w:line="266"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20" w:right="20" w:hanging="324"/>
        <w:spacing w:after="0" w:line="282"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920" w:right="180" w:hanging="324"/>
        <w:spacing w:after="0" w:line="266"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60" w:right="20" w:hanging="316"/>
        <w:spacing w:after="0" w:line="266" w:lineRule="auto"/>
        <w:tabs>
          <w:tab w:leader="none" w:pos="15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60" w:right="100" w:hanging="316"/>
        <w:spacing w:after="0" w:line="266" w:lineRule="auto"/>
        <w:tabs>
          <w:tab w:leader="none" w:pos="15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560" w:right="180" w:hanging="316"/>
        <w:spacing w:after="0" w:line="266" w:lineRule="auto"/>
        <w:tabs>
          <w:tab w:leader="none" w:pos="15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560" w:right="300" w:hanging="316"/>
        <w:spacing w:after="0" w:line="266" w:lineRule="auto"/>
        <w:tabs>
          <w:tab w:leader="none" w:pos="15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20" w:right="140" w:hanging="324"/>
        <w:spacing w:after="0" w:line="312" w:lineRule="auto"/>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560" w:right="140" w:hanging="316"/>
        <w:spacing w:after="0" w:line="282" w:lineRule="auto"/>
        <w:tabs>
          <w:tab w:leader="none" w:pos="15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60" w:right="420" w:hanging="316"/>
        <w:spacing w:after="0" w:line="282" w:lineRule="auto"/>
        <w:tabs>
          <w:tab w:leader="none" w:pos="15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27774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R.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ectPr>
          <w:pgSz w:w="11900" w:h="16838" w:orient="portrait"/>
          <w:cols w:equalWidth="0" w:num="1">
            <w:col w:w="11180"/>
          </w:cols>
          <w:pgMar w:left="380" w:top="149"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Oliver Chow, certify that:</w:t>
      </w:r>
    </w:p>
    <w:p>
      <w:pPr>
        <w:spacing w:after="0" w:line="306" w:lineRule="exact"/>
        <w:rPr>
          <w:sz w:val="20"/>
          <w:szCs w:val="20"/>
          <w:color w:val="auto"/>
        </w:rPr>
      </w:pPr>
    </w:p>
    <w:p>
      <w:pPr>
        <w:ind w:left="920" w:hanging="32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Light &amp; Wonder, Inc.;</w:t>
      </w:r>
    </w:p>
    <w:p>
      <w:pPr>
        <w:spacing w:after="0" w:line="144" w:lineRule="exact"/>
        <w:rPr>
          <w:rFonts w:ascii="Times New Roman" w:cs="Times New Roman" w:eastAsia="Times New Roman" w:hAnsi="Times New Roman"/>
          <w:sz w:val="18"/>
          <w:szCs w:val="18"/>
          <w:color w:val="auto"/>
        </w:rPr>
      </w:pPr>
    </w:p>
    <w:p>
      <w:pPr>
        <w:jc w:val="both"/>
        <w:ind w:left="920" w:right="60" w:hanging="324"/>
        <w:spacing w:after="0" w:line="250"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920" w:right="20" w:hanging="324"/>
        <w:spacing w:after="0" w:line="266"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920" w:right="180" w:hanging="324"/>
        <w:spacing w:after="0" w:line="258"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Times New Roman" w:cs="Times New Roman" w:eastAsia="Times New Roman" w:hAnsi="Times New Roman"/>
          <w:sz w:val="18"/>
          <w:szCs w:val="18"/>
          <w:color w:val="auto"/>
        </w:rPr>
      </w:pPr>
    </w:p>
    <w:p>
      <w:pPr>
        <w:ind w:left="1560" w:right="20" w:hanging="316"/>
        <w:spacing w:after="0" w:line="258" w:lineRule="auto"/>
        <w:tabs>
          <w:tab w:leader="none" w:pos="15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1560" w:right="100" w:hanging="316"/>
        <w:spacing w:after="0" w:line="250" w:lineRule="auto"/>
        <w:tabs>
          <w:tab w:leader="none" w:pos="15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560" w:right="180" w:hanging="316"/>
        <w:spacing w:after="0" w:line="258" w:lineRule="auto"/>
        <w:tabs>
          <w:tab w:leader="none" w:pos="15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8"/>
          <w:szCs w:val="18"/>
          <w:color w:val="auto"/>
        </w:rPr>
      </w:pPr>
    </w:p>
    <w:p>
      <w:pPr>
        <w:ind w:left="1560" w:right="300" w:hanging="316"/>
        <w:spacing w:after="0" w:line="258" w:lineRule="auto"/>
        <w:tabs>
          <w:tab w:leader="none" w:pos="15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920" w:right="140" w:hanging="324"/>
        <w:spacing w:after="0" w:line="296" w:lineRule="auto"/>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7"/>
          <w:szCs w:val="17"/>
          <w:color w:val="auto"/>
        </w:rPr>
      </w:pPr>
    </w:p>
    <w:p>
      <w:pPr>
        <w:ind w:left="1560" w:right="140" w:hanging="316"/>
        <w:spacing w:after="0" w:line="266" w:lineRule="auto"/>
        <w:tabs>
          <w:tab w:leader="none" w:pos="15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60" w:right="420" w:hanging="316"/>
        <w:spacing w:after="0" w:line="282" w:lineRule="auto"/>
        <w:tabs>
          <w:tab w:leader="none" w:pos="15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43180</wp:posOffset>
            </wp:positionV>
            <wp:extent cx="27774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Oliver Chow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ectPr>
          <w:pgSz w:w="11900" w:h="16838" w:orient="portrait"/>
          <w:cols w:equalWidth="0" w:num="1">
            <w:col w:w="11180"/>
          </w:cols>
          <w:pgMar w:left="380" w:top="149"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Light &amp; Wonder, Inc. (the “Company”) for the period ended September 30, 2026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3531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R. Wilson</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4, 2026</w:t>
      </w:r>
    </w:p>
    <w:p>
      <w:pPr>
        <w:sectPr>
          <w:pgSz w:w="11900" w:h="16838" w:orient="portrait"/>
          <w:cols w:equalWidth="0" w:num="1">
            <w:col w:w="11240"/>
          </w:cols>
          <w:pgMar w:left="320" w:top="14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Light &amp; Wonder, Inc. (the “Company”) for the period ended September 30, 2026 as filed with the Securities and Exchange Commission on the date hereof (the “Report”), I, Oliver Chow, Chief Financial Officer of the Company, certify, pursuant to 18 U.S.C. §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3531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Oliver Chow</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4, 2026</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lvl w:ilvl="1">
      <w:lvlJc w:val="left"/>
      <w:lvlText w:val="%2"/>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87" Type="http://schemas.openxmlformats.org/officeDocument/2006/relationships/hyperlink" Target="https://www.sec.gov/Archives/edgar/data/750004/000075000422000025/ex31arestatedarticlesofinc.htm" TargetMode="External"/><Relationship Id="rId88" Type="http://schemas.openxmlformats.org/officeDocument/2006/relationships/hyperlink" Target="https://www.sec.gov/Archives/edgar/data/750004/000095015725000949/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2026-11-04T15:46:37Z</dcterms:created>
  <dcterms:modified xsi:type="dcterms:W3CDTF">2026-11-04T15:46:37Z</dcterms:modified>
</cp:coreProperties>
</file>