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15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OR</w:t>
      </w:r>
    </w:p>
    <w:p>
      <w:pPr>
        <w:spacing w:after="0" w:line="112" w:lineRule="exact"/>
        <w:rPr>
          <w:sz w:val="24"/>
          <w:szCs w:val="24"/>
          <w:color w:val="auto"/>
        </w:rPr>
      </w:pPr>
    </w:p>
    <w:p>
      <w:pPr>
        <w:ind w:right="840" w:firstLine="8"/>
        <w:spacing w:after="0" w:line="269" w:lineRule="auto"/>
        <w:tabs>
          <w:tab w:leader="none" w:pos="24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398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Commission file number: 001-11693</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SCIENTIFIC GAMES CORPORATION</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60"/>
          </w:cols>
          <w:pgMar w:left="320" w:top="994" w:right="319" w:bottom="1440" w:gutter="0" w:footer="0" w:header="0"/>
        </w:sectPr>
      </w:pPr>
    </w:p>
    <w:p>
      <w:pPr>
        <w:spacing w:after="0" w:line="124"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81-0422894</w:t>
      </w:r>
    </w:p>
    <w:p>
      <w:pPr>
        <w:spacing w:after="0" w:line="68" w:lineRule="exact"/>
        <w:rPr>
          <w:sz w:val="24"/>
          <w:szCs w:val="24"/>
          <w:color w:val="auto"/>
        </w:rPr>
      </w:pPr>
    </w:p>
    <w:p>
      <w:pPr>
        <w:sectPr>
          <w:pgSz w:w="11900" w:h="16838" w:orient="portrait"/>
          <w:cols w:equalWidth="0" w:num="2">
            <w:col w:w="7380" w:space="720"/>
            <w:col w:w="3160"/>
          </w:cols>
          <w:pgMar w:left="320" w:top="994" w:right="319" w:bottom="1440" w:gutter="0" w:footer="0" w:header="0"/>
          <w:type w:val="continuous"/>
        </w:sectPr>
      </w:pPr>
    </w:p>
    <w:p>
      <w:pPr>
        <w:ind w:left="176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57" w:lineRule="exact"/>
        <w:rPr>
          <w:sz w:val="24"/>
          <w:szCs w:val="24"/>
          <w:color w:val="auto"/>
        </w:rPr>
      </w:pPr>
    </w:p>
    <w:p>
      <w:pPr>
        <w:sectPr>
          <w:pgSz w:w="11900" w:h="16838" w:orient="portrait"/>
          <w:cols w:equalWidth="0" w:num="2">
            <w:col w:w="6640" w:space="720"/>
            <w:col w:w="3900"/>
          </w:cols>
          <w:pgMar w:left="320" w:top="994" w:right="319" w:bottom="1440" w:gutter="0" w:footer="0" w:header="0"/>
          <w:type w:val="continuous"/>
        </w:sectPr>
      </w:pPr>
    </w:p>
    <w:p>
      <w:pPr>
        <w:ind w:left="1740"/>
        <w:spacing w:after="0"/>
        <w:rPr>
          <w:sz w:val="20"/>
          <w:szCs w:val="20"/>
          <w:color w:val="auto"/>
        </w:rPr>
      </w:pPr>
      <w:r>
        <w:rPr>
          <w:rFonts w:ascii="Arial" w:cs="Arial" w:eastAsia="Arial" w:hAnsi="Arial"/>
          <w:sz w:val="14"/>
          <w:szCs w:val="14"/>
          <w:color w:val="auto"/>
        </w:rPr>
        <w:t>incorporation or organization)</w:t>
      </w:r>
    </w:p>
    <w:p>
      <w:pPr>
        <w:sectPr>
          <w:pgSz w:w="11900" w:h="16838" w:orient="portrait"/>
          <w:cols w:equalWidth="0" w:num="1">
            <w:col w:w="11260"/>
          </w:cols>
          <w:pgMar w:left="320" w:top="994" w:right="319" w:bottom="1440" w:gutter="0" w:footer="0" w:header="0"/>
          <w:type w:val="continuous"/>
        </w:sectPr>
      </w:pPr>
    </w:p>
    <w:p>
      <w:pPr>
        <w:spacing w:after="0" w:line="3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6601 Bermuda Road, Las Vegas, Nevada 89119</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(702) 897-7150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5"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Name of each exchange on which registered</w:t>
            </w:r>
          </w:p>
        </w:tc>
      </w:tr>
      <w:tr>
        <w:trPr>
          <w:trHeight w:val="236"/>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Common Stock, $.001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SGMS</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The NASDAQ Stock Market</w:t>
            </w:r>
          </w:p>
        </w:tc>
      </w:tr>
      <w:tr>
        <w:trPr>
          <w:trHeight w:val="237"/>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Preferred Stock Purchase Rights</w:t>
            </w:r>
          </w:p>
        </w:tc>
        <w:tc>
          <w:tcPr>
            <w:tcW w:w="2760" w:type="dxa"/>
            <w:vAlign w:val="bottom"/>
            <w:tcBorders>
              <w:bottom w:val="single" w:sz="8" w:color="auto"/>
              <w:right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The NASDAQ Stock Market</w:t>
            </w:r>
          </w:p>
        </w:tc>
      </w:tr>
    </w:tbl>
    <w:p>
      <w:pPr>
        <w:spacing w:after="0" w:line="13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28" w:lineRule="exact"/>
        <w:rPr>
          <w:sz w:val="24"/>
          <w:szCs w:val="24"/>
          <w:color w:val="auto"/>
        </w:rPr>
      </w:pPr>
    </w:p>
    <w:p>
      <w:pPr>
        <w:ind w:left="500" w:right="1020"/>
        <w:spacing w:after="0" w:line="365"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02" w:lineRule="exact"/>
        <w:rPr>
          <w:sz w:val="24"/>
          <w:szCs w:val="24"/>
          <w:color w:val="auto"/>
        </w:rPr>
      </w:pPr>
    </w:p>
    <w:p>
      <w:pPr>
        <w:ind w:right="80" w:firstLine="486"/>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02" w:lineRule="exact"/>
        <w:rPr>
          <w:sz w:val="24"/>
          <w:szCs w:val="24"/>
          <w:color w:val="auto"/>
        </w:rPr>
      </w:pPr>
    </w:p>
    <w:p>
      <w:pPr>
        <w:ind w:right="80" w:firstLine="486"/>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89" w:lineRule="exact"/>
        <w:rPr>
          <w:sz w:val="24"/>
          <w:szCs w:val="24"/>
          <w:color w:val="auto"/>
        </w:rPr>
      </w:pPr>
    </w:p>
    <w:p>
      <w:pPr>
        <w:ind w:right="6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4" w:right="319" w:bottom="1440" w:gutter="0" w:footer="0" w:header="0"/>
          <w:type w:val="continuous"/>
        </w:sectPr>
      </w:pPr>
    </w:p>
    <w:bookmarkStart w:id="1" w:name="page2"/>
    <w:bookmarkEnd w:id="1"/>
    <w:tbl>
      <w:tblPr>
        <w:tblLayout w:type="fixed"/>
        <w:tblInd w:w="2220" w:type="dxa"/>
        <w:tblCellMar>
          <w:top w:w="0" w:type="dxa"/>
          <w:left w:w="0" w:type="dxa"/>
          <w:bottom w:w="0" w:type="dxa"/>
          <w:right w:w="0" w:type="dxa"/>
        </w:tblCellMar>
      </w:tblPr>
      <w:tr>
        <w:trPr>
          <w:trHeight w:val="283"/>
        </w:trPr>
        <w:tc>
          <w:tcPr>
            <w:tcW w:w="2480" w:type="dxa"/>
            <w:vAlign w:val="bottom"/>
          </w:tcPr>
          <w:p>
            <w:pPr>
              <w:jc w:val="center"/>
              <w:ind w:right="430"/>
              <w:spacing w:after="0"/>
              <w:rPr>
                <w:sz w:val="20"/>
                <w:szCs w:val="20"/>
                <w:color w:val="auto"/>
              </w:rPr>
            </w:pPr>
            <w:r>
              <w:rPr>
                <w:rFonts w:ascii="Arial" w:cs="Arial" w:eastAsia="Arial" w:hAnsi="Arial"/>
                <w:sz w:val="18"/>
                <w:szCs w:val="18"/>
                <w:color w:val="auto"/>
                <w:w w:val="89"/>
              </w:rPr>
              <w:t>Large accelerated filer</w:t>
            </w:r>
          </w:p>
        </w:tc>
        <w:tc>
          <w:tcPr>
            <w:tcW w:w="1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2"/>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80" w:type="dxa"/>
            <w:vAlign w:val="bottom"/>
          </w:tcPr>
          <w:p>
            <w:pPr>
              <w:jc w:val="center"/>
              <w:ind w:right="430"/>
              <w:spacing w:after="0"/>
              <w:rPr>
                <w:sz w:val="20"/>
                <w:szCs w:val="20"/>
                <w:color w:val="auto"/>
              </w:rPr>
            </w:pPr>
            <w:r>
              <w:rPr>
                <w:rFonts w:ascii="Arial" w:cs="Arial" w:eastAsia="Arial" w:hAnsi="Arial"/>
                <w:sz w:val="18"/>
                <w:szCs w:val="18"/>
                <w:color w:val="auto"/>
                <w:w w:val="91"/>
              </w:rPr>
              <w:t>Non-accelerated filer</w:t>
            </w:r>
          </w:p>
        </w:tc>
        <w:tc>
          <w:tcPr>
            <w:tcW w:w="1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2"/>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80" w:type="dxa"/>
            <w:vAlign w:val="bottom"/>
          </w:tcPr>
          <w:p>
            <w:pPr>
              <w:jc w:val="center"/>
              <w:ind w:right="430"/>
              <w:spacing w:after="0"/>
              <w:rPr>
                <w:sz w:val="20"/>
                <w:szCs w:val="20"/>
                <w:color w:val="auto"/>
              </w:rPr>
            </w:pPr>
            <w:r>
              <w:rPr>
                <w:rFonts w:ascii="Arial" w:cs="Arial" w:eastAsia="Arial" w:hAnsi="Arial"/>
                <w:sz w:val="18"/>
                <w:szCs w:val="18"/>
                <w:color w:val="auto"/>
                <w:w w:val="91"/>
              </w:rPr>
              <w:t>Emerging growth company</w:t>
            </w:r>
          </w:p>
        </w:tc>
        <w:tc>
          <w:tcPr>
            <w:tcW w:w="1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9" w:lineRule="exact"/>
        <w:rPr>
          <w:sz w:val="20"/>
          <w:szCs w:val="20"/>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0"/>
          <w:szCs w:val="20"/>
          <w:color w:val="auto"/>
        </w:rPr>
      </w:pPr>
    </w:p>
    <w:p>
      <w:pPr>
        <w:jc w:val="both"/>
        <w:ind w:right="20" w:firstLine="486"/>
        <w:spacing w:after="0" w:line="24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69" w:lineRule="exact"/>
        <w:rPr>
          <w:sz w:val="20"/>
          <w:szCs w:val="20"/>
          <w:color w:val="auto"/>
        </w:rPr>
      </w:pPr>
    </w:p>
    <w:p>
      <w:pPr>
        <w:ind w:left="50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June 30, 2021, the market value of voting and non-voting common equity held by non-affiliates of the registrant was $7,352,575,416.</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Common shares outstanding as of February 24, 2022 were 96,676,411.</w:t>
      </w:r>
    </w:p>
    <w:p>
      <w:pPr>
        <w:spacing w:after="0" w:line="15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2" w:lineRule="exact"/>
        <w:rPr>
          <w:sz w:val="20"/>
          <w:szCs w:val="20"/>
          <w:color w:val="auto"/>
        </w:rPr>
      </w:pPr>
    </w:p>
    <w:p>
      <w:pPr>
        <w:jc w:val="center"/>
        <w:ind w:left="360" w:right="260"/>
        <w:spacing w:after="0" w:line="263" w:lineRule="auto"/>
        <w:rPr>
          <w:sz w:val="20"/>
          <w:szCs w:val="20"/>
          <w:color w:val="auto"/>
        </w:rPr>
      </w:pPr>
      <w:r>
        <w:rPr>
          <w:rFonts w:ascii="Arial" w:cs="Arial" w:eastAsia="Arial" w:hAnsi="Arial"/>
          <w:sz w:val="18"/>
          <w:szCs w:val="18"/>
          <w:color w:val="auto"/>
        </w:rPr>
        <w:t>Portions of the registrant’s proxy statement relating to the 2022 annual meeting of stockholders are incorporated by reference in Part III. The proxy statement will be filed with the Securities and Exchange Commission no later than 120 days after the conclusion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80" w:type="dxa"/>
            <w:vAlign w:val="bottom"/>
            <w:gridSpan w:val="9"/>
          </w:tcPr>
          <w:p>
            <w:pPr>
              <w:ind w:left="34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00" w:type="dxa"/>
            <w:vAlign w:val="bottom"/>
          </w:tcPr>
          <w:p>
            <w:pPr>
              <w:spacing w:after="0"/>
              <w:rPr>
                <w:rFonts w:ascii="Arial" w:cs="Arial" w:eastAsia="Arial" w:hAnsi="Arial"/>
                <w:sz w:val="18"/>
                <w:szCs w:val="18"/>
                <w:b w:val="1"/>
                <w:bCs w:val="1"/>
                <w:color w:val="0000FF"/>
                <w:w w:val="98"/>
              </w:rPr>
            </w:pPr>
            <w:hyperlink w:anchor="page5">
              <w:r>
                <w:rPr>
                  <w:rFonts w:ascii="Arial" w:cs="Arial" w:eastAsia="Arial" w:hAnsi="Arial"/>
                  <w:sz w:val="18"/>
                  <w:szCs w:val="18"/>
                  <w:b w:val="1"/>
                  <w:bCs w:val="1"/>
                  <w:color w:val="0000FF"/>
                  <w:w w:val="98"/>
                </w:rPr>
                <w:t>PART I</w:t>
              </w:r>
            </w:hyperlink>
          </w:p>
        </w:tc>
        <w:tc>
          <w:tcPr>
            <w:tcW w:w="3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3"/>
          </w:tcPr>
          <w:p>
            <w:pPr>
              <w:jc w:val="center"/>
              <w:ind w:left="85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Item 1.</w:t>
            </w:r>
          </w:p>
        </w:tc>
        <w:tc>
          <w:tcPr>
            <w:tcW w:w="360" w:type="dxa"/>
            <w:vAlign w:val="bottom"/>
            <w:gridSpan w:val="3"/>
          </w:tcPr>
          <w:p>
            <w:pPr>
              <w:spacing w:after="0"/>
              <w:rPr>
                <w:sz w:val="18"/>
                <w:szCs w:val="18"/>
                <w:color w:val="auto"/>
              </w:rPr>
            </w:pPr>
          </w:p>
        </w:tc>
        <w:tc>
          <w:tcPr>
            <w:tcW w:w="892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Business</w:t>
              </w:r>
            </w:hyperlink>
          </w:p>
        </w:tc>
        <w:tc>
          <w:tcPr>
            <w:tcW w:w="1020" w:type="dxa"/>
            <w:vAlign w:val="bottom"/>
            <w:gridSpan w:val="3"/>
          </w:tcPr>
          <w:p>
            <w:pPr>
              <w:jc w:val="center"/>
              <w:ind w:left="85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8920" w:type="dxa"/>
            <w:vAlign w:val="bottom"/>
            <w:gridSpan w:val="19"/>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Risk Factors</w:t>
              </w:r>
            </w:hyperlink>
          </w:p>
        </w:tc>
        <w:tc>
          <w:tcPr>
            <w:tcW w:w="1120" w:type="dxa"/>
            <w:vAlign w:val="bottom"/>
            <w:gridSpan w:val="4"/>
          </w:tcPr>
          <w:p>
            <w:pPr>
              <w:jc w:val="center"/>
              <w:ind w:left="77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19</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1B.</w:t>
            </w:r>
          </w:p>
        </w:tc>
        <w:tc>
          <w:tcPr>
            <w:tcW w:w="8920" w:type="dxa"/>
            <w:vAlign w:val="bottom"/>
            <w:gridSpan w:val="19"/>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Unresolved Staff Comments</w:t>
              </w:r>
            </w:hyperlink>
          </w:p>
        </w:tc>
        <w:tc>
          <w:tcPr>
            <w:tcW w:w="1120" w:type="dxa"/>
            <w:vAlign w:val="bottom"/>
            <w:gridSpan w:val="4"/>
          </w:tcPr>
          <w:p>
            <w:pPr>
              <w:jc w:val="center"/>
              <w:ind w:left="77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51</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2.</w:t>
            </w:r>
          </w:p>
        </w:tc>
        <w:tc>
          <w:tcPr>
            <w:tcW w:w="680" w:type="dxa"/>
            <w:vAlign w:val="bottom"/>
            <w:gridSpan w:val="2"/>
          </w:tcPr>
          <w:p>
            <w:pPr>
              <w:spacing w:after="0"/>
              <w:rPr>
                <w:rFonts w:ascii="Arial" w:cs="Arial" w:eastAsia="Arial" w:hAnsi="Arial"/>
                <w:sz w:val="18"/>
                <w:szCs w:val="18"/>
                <w:color w:val="0000FF"/>
                <w:w w:val="77"/>
              </w:rPr>
            </w:pPr>
            <w:hyperlink w:anchor="page51">
              <w:r>
                <w:rPr>
                  <w:rFonts w:ascii="Arial" w:cs="Arial" w:eastAsia="Arial" w:hAnsi="Arial"/>
                  <w:sz w:val="18"/>
                  <w:szCs w:val="18"/>
                  <w:color w:val="0000FF"/>
                  <w:w w:val="77"/>
                </w:rPr>
                <w:t>Properties</w:t>
              </w:r>
            </w:hyperlink>
          </w:p>
        </w:tc>
        <w:tc>
          <w:tcPr>
            <w:tcW w:w="1360" w:type="dxa"/>
            <w:vAlign w:val="bottom"/>
            <w:gridSpan w:val="5"/>
          </w:tcPr>
          <w:p>
            <w:pPr>
              <w:spacing w:after="0"/>
              <w:rPr>
                <w:sz w:val="18"/>
                <w:szCs w:val="18"/>
                <w:color w:val="auto"/>
              </w:rPr>
            </w:pPr>
          </w:p>
        </w:tc>
        <w:tc>
          <w:tcPr>
            <w:tcW w:w="6880" w:type="dxa"/>
            <w:vAlign w:val="bottom"/>
            <w:gridSpan w:val="12"/>
          </w:tcPr>
          <w:p>
            <w:pPr>
              <w:spacing w:after="0"/>
              <w:rPr>
                <w:sz w:val="18"/>
                <w:szCs w:val="18"/>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51</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rFonts w:ascii="Arial" w:cs="Arial" w:eastAsia="Arial" w:hAnsi="Arial"/>
                <w:sz w:val="18"/>
                <w:szCs w:val="18"/>
                <w:color w:val="0000FF"/>
                <w:w w:val="85"/>
              </w:rPr>
            </w:pPr>
            <w:hyperlink w:anchor="page51">
              <w:r>
                <w:rPr>
                  <w:rFonts w:ascii="Arial" w:cs="Arial" w:eastAsia="Arial" w:hAnsi="Arial"/>
                  <w:sz w:val="18"/>
                  <w:szCs w:val="18"/>
                  <w:color w:val="0000FF"/>
                  <w:w w:val="85"/>
                </w:rPr>
                <w:t>Legal Proceedings</w:t>
              </w:r>
            </w:hyperlink>
          </w:p>
        </w:tc>
        <w:tc>
          <w:tcPr>
            <w:tcW w:w="7600" w:type="dxa"/>
            <w:vAlign w:val="bottom"/>
            <w:gridSpan w:val="15"/>
          </w:tcPr>
          <w:p>
            <w:pPr>
              <w:spacing w:after="0"/>
              <w:rPr>
                <w:sz w:val="18"/>
                <w:szCs w:val="18"/>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51</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FF"/>
                <w:w w:val="90"/>
              </w:rPr>
            </w:pPr>
            <w:hyperlink w:anchor="page51">
              <w:r>
                <w:rPr>
                  <w:rFonts w:ascii="Arial" w:cs="Arial" w:eastAsia="Arial" w:hAnsi="Arial"/>
                  <w:sz w:val="18"/>
                  <w:szCs w:val="18"/>
                  <w:color w:val="0000FF"/>
                  <w:w w:val="90"/>
                </w:rPr>
                <w:t>Mine Safety Disclosures</w:t>
              </w:r>
            </w:hyperlink>
          </w:p>
        </w:tc>
        <w:tc>
          <w:tcPr>
            <w:tcW w:w="7140" w:type="dxa"/>
            <w:vAlign w:val="bottom"/>
            <w:gridSpan w:val="13"/>
          </w:tcPr>
          <w:p>
            <w:pPr>
              <w:spacing w:after="0"/>
              <w:rPr>
                <w:sz w:val="18"/>
                <w:szCs w:val="18"/>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52</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4"/>
            <w:vMerge w:val="restart"/>
          </w:tcPr>
          <w:p>
            <w:pPr>
              <w:spacing w:after="0"/>
              <w:rPr>
                <w:rFonts w:ascii="Arial" w:cs="Arial" w:eastAsia="Arial" w:hAnsi="Arial"/>
                <w:sz w:val="18"/>
                <w:szCs w:val="18"/>
                <w:b w:val="1"/>
                <w:bCs w:val="1"/>
                <w:color w:val="0000FF"/>
              </w:rPr>
            </w:pPr>
            <w:hyperlink w:anchor="page52">
              <w:r>
                <w:rPr>
                  <w:rFonts w:ascii="Arial" w:cs="Arial" w:eastAsia="Arial" w:hAnsi="Arial"/>
                  <w:sz w:val="18"/>
                  <w:szCs w:val="18"/>
                  <w:b w:val="1"/>
                  <w:bCs w:val="1"/>
                  <w:color w:val="0000FF"/>
                </w:rPr>
                <w:t>PART II</w:t>
              </w:r>
            </w:hyperlink>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6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52</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300" w:type="dxa"/>
            <w:vAlign w:val="bottom"/>
            <w:gridSpan w:val="2"/>
          </w:tcPr>
          <w:p>
            <w:pPr>
              <w:spacing w:after="0"/>
              <w:rPr>
                <w:sz w:val="18"/>
                <w:szCs w:val="18"/>
                <w:color w:val="auto"/>
              </w:rPr>
            </w:pPr>
          </w:p>
        </w:tc>
        <w:tc>
          <w:tcPr>
            <w:tcW w:w="8080" w:type="dxa"/>
            <w:vAlign w:val="bottom"/>
            <w:gridSpan w:val="18"/>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Market for Registrant’s Common Equity, Related Stockholder Matters and Issuer Purchases of Equity Securities</w:t>
              </w:r>
            </w:hyperlink>
          </w:p>
        </w:tc>
        <w:tc>
          <w:tcPr>
            <w:tcW w:w="840" w:type="dxa"/>
            <w:vAlign w:val="bottom"/>
          </w:tcPr>
          <w:p>
            <w:pPr>
              <w:spacing w:after="0"/>
              <w:rPr>
                <w:sz w:val="18"/>
                <w:szCs w:val="18"/>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52</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6.</w:t>
            </w:r>
          </w:p>
        </w:tc>
        <w:tc>
          <w:tcPr>
            <w:tcW w:w="680" w:type="dxa"/>
            <w:vAlign w:val="bottom"/>
            <w:gridSpan w:val="2"/>
          </w:tcPr>
          <w:p>
            <w:pPr>
              <w:spacing w:after="0"/>
              <w:rPr>
                <w:rFonts w:ascii="Arial" w:cs="Arial" w:eastAsia="Arial" w:hAnsi="Arial"/>
                <w:sz w:val="18"/>
                <w:szCs w:val="18"/>
                <w:color w:val="0000FF"/>
                <w:w w:val="83"/>
              </w:rPr>
            </w:pPr>
            <w:hyperlink w:anchor="page53">
              <w:r>
                <w:rPr>
                  <w:rFonts w:ascii="Arial" w:cs="Arial" w:eastAsia="Arial" w:hAnsi="Arial"/>
                  <w:sz w:val="18"/>
                  <w:szCs w:val="18"/>
                  <w:color w:val="0000FF"/>
                  <w:w w:val="83"/>
                </w:rPr>
                <w:t>Reserved</w:t>
              </w:r>
            </w:hyperlink>
          </w:p>
        </w:tc>
        <w:tc>
          <w:tcPr>
            <w:tcW w:w="7400" w:type="dxa"/>
            <w:vAlign w:val="bottom"/>
            <w:gridSpan w:val="16"/>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54</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7.</w:t>
            </w:r>
          </w:p>
        </w:tc>
        <w:tc>
          <w:tcPr>
            <w:tcW w:w="8920" w:type="dxa"/>
            <w:vAlign w:val="bottom"/>
            <w:gridSpan w:val="19"/>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Management’s Discussion and Analysis of Financial Condition and Results of Operations</w:t>
              </w:r>
            </w:hyperlink>
          </w:p>
        </w:tc>
        <w:tc>
          <w:tcPr>
            <w:tcW w:w="1120" w:type="dxa"/>
            <w:vAlign w:val="bottom"/>
            <w:gridSpan w:val="4"/>
          </w:tcPr>
          <w:p>
            <w:pPr>
              <w:jc w:val="center"/>
              <w:ind w:left="770"/>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54</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5"/>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Quantitative and Qualitative Disclosures About Market Risk</w:t>
              </w:r>
            </w:hyperlink>
          </w:p>
        </w:tc>
        <w:tc>
          <w:tcPr>
            <w:tcW w:w="2460" w:type="dxa"/>
            <w:vAlign w:val="bottom"/>
            <w:gridSpan w:val="4"/>
          </w:tcPr>
          <w:p>
            <w:pPr>
              <w:spacing w:after="0"/>
              <w:rPr>
                <w:sz w:val="18"/>
                <w:szCs w:val="18"/>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77</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0"/>
          </w:tcPr>
          <w:p>
            <w:pP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Financial Statements and Supplementary Data</w:t>
              </w:r>
            </w:hyperlink>
          </w:p>
        </w:tc>
        <w:tc>
          <w:tcPr>
            <w:tcW w:w="1020" w:type="dxa"/>
            <w:vAlign w:val="bottom"/>
            <w:gridSpan w:val="2"/>
          </w:tcPr>
          <w:p>
            <w:pPr>
              <w:spacing w:after="0"/>
              <w:rPr>
                <w:sz w:val="18"/>
                <w:szCs w:val="18"/>
                <w:color w:val="auto"/>
              </w:rPr>
            </w:pPr>
          </w:p>
        </w:tc>
        <w:tc>
          <w:tcPr>
            <w:tcW w:w="4560" w:type="dxa"/>
            <w:vAlign w:val="bottom"/>
            <w:gridSpan w:val="7"/>
          </w:tcPr>
          <w:p>
            <w:pPr>
              <w:spacing w:after="0"/>
              <w:rPr>
                <w:sz w:val="18"/>
                <w:szCs w:val="18"/>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78</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9.</w:t>
            </w:r>
          </w:p>
        </w:tc>
        <w:tc>
          <w:tcPr>
            <w:tcW w:w="8920" w:type="dxa"/>
            <w:vAlign w:val="bottom"/>
            <w:gridSpan w:val="19"/>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Changes in and Disagreements with Accountants on Accounting and Financial Disclosure</w:t>
              </w:r>
            </w:hyperlink>
          </w:p>
        </w:tc>
        <w:tc>
          <w:tcPr>
            <w:tcW w:w="1120" w:type="dxa"/>
            <w:vAlign w:val="bottom"/>
            <w:gridSpan w:val="4"/>
          </w:tcPr>
          <w:p>
            <w:pPr>
              <w:jc w:val="center"/>
              <w:ind w:left="770"/>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78</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rFonts w:ascii="Arial" w:cs="Arial" w:eastAsia="Arial" w:hAnsi="Arial"/>
                <w:sz w:val="18"/>
                <w:szCs w:val="18"/>
                <w:color w:val="0000FF"/>
                <w:w w:val="87"/>
              </w:rPr>
            </w:pPr>
            <w:hyperlink w:anchor="page78">
              <w:r>
                <w:rPr>
                  <w:rFonts w:ascii="Arial" w:cs="Arial" w:eastAsia="Arial" w:hAnsi="Arial"/>
                  <w:sz w:val="18"/>
                  <w:szCs w:val="18"/>
                  <w:color w:val="0000FF"/>
                  <w:w w:val="87"/>
                </w:rPr>
                <w:t>Controls and Procedures</w:t>
              </w:r>
            </w:hyperlink>
          </w:p>
        </w:tc>
        <w:tc>
          <w:tcPr>
            <w:tcW w:w="4700" w:type="dxa"/>
            <w:vAlign w:val="bottom"/>
            <w:gridSpan w:val="10"/>
          </w:tcPr>
          <w:p>
            <w:pPr>
              <w:spacing w:after="0"/>
              <w:rPr>
                <w:sz w:val="18"/>
                <w:szCs w:val="18"/>
                <w:color w:val="auto"/>
              </w:rPr>
            </w:pPr>
          </w:p>
        </w:tc>
        <w:tc>
          <w:tcPr>
            <w:tcW w:w="2440" w:type="dxa"/>
            <w:vAlign w:val="bottom"/>
            <w:gridSpan w:val="3"/>
          </w:tcPr>
          <w:p>
            <w:pPr>
              <w:spacing w:after="0"/>
              <w:rPr>
                <w:sz w:val="18"/>
                <w:szCs w:val="18"/>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78</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4"/>
          </w:tcPr>
          <w:p>
            <w:pPr>
              <w:spacing w:after="0"/>
              <w:rPr>
                <w:rFonts w:ascii="Arial" w:cs="Arial" w:eastAsia="Arial" w:hAnsi="Arial"/>
                <w:sz w:val="18"/>
                <w:szCs w:val="18"/>
                <w:color w:val="0000FF"/>
                <w:w w:val="91"/>
              </w:rPr>
            </w:pPr>
            <w:hyperlink w:anchor="page79">
              <w:r>
                <w:rPr>
                  <w:rFonts w:ascii="Arial" w:cs="Arial" w:eastAsia="Arial" w:hAnsi="Arial"/>
                  <w:sz w:val="18"/>
                  <w:szCs w:val="18"/>
                  <w:color w:val="0000FF"/>
                  <w:w w:val="91"/>
                </w:rPr>
                <w:t>Other Information</w:t>
              </w:r>
            </w:hyperlink>
          </w:p>
        </w:tc>
        <w:tc>
          <w:tcPr>
            <w:tcW w:w="460" w:type="dxa"/>
            <w:vAlign w:val="bottom"/>
            <w:gridSpan w:val="2"/>
          </w:tcPr>
          <w:p>
            <w:pPr>
              <w:spacing w:after="0"/>
              <w:rPr>
                <w:sz w:val="18"/>
                <w:szCs w:val="18"/>
                <w:color w:val="auto"/>
              </w:rPr>
            </w:pPr>
          </w:p>
        </w:tc>
        <w:tc>
          <w:tcPr>
            <w:tcW w:w="7140" w:type="dxa"/>
            <w:vAlign w:val="bottom"/>
            <w:gridSpan w:val="13"/>
          </w:tcPr>
          <w:p>
            <w:pPr>
              <w:spacing w:after="0"/>
              <w:rPr>
                <w:sz w:val="18"/>
                <w:szCs w:val="18"/>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80</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9C.</w:t>
            </w:r>
          </w:p>
        </w:tc>
        <w:tc>
          <w:tcPr>
            <w:tcW w:w="8920" w:type="dxa"/>
            <w:vAlign w:val="bottom"/>
            <w:gridSpan w:val="19"/>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Disclosure Regarding Foreign Jurisdictions that Prevent Inspections</w:t>
              </w:r>
            </w:hyperlink>
          </w:p>
        </w:tc>
        <w:tc>
          <w:tcPr>
            <w:tcW w:w="1120" w:type="dxa"/>
            <w:vAlign w:val="bottom"/>
            <w:gridSpan w:val="4"/>
          </w:tcPr>
          <w:p>
            <w:pPr>
              <w:jc w:val="center"/>
              <w:ind w:left="770"/>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80</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vMerge w:val="restart"/>
          </w:tcPr>
          <w:p>
            <w:pPr>
              <w:spacing w:after="0"/>
              <w:rPr>
                <w:rFonts w:ascii="Arial" w:cs="Arial" w:eastAsia="Arial" w:hAnsi="Arial"/>
                <w:sz w:val="18"/>
                <w:szCs w:val="18"/>
                <w:b w:val="1"/>
                <w:bCs w:val="1"/>
                <w:color w:val="0000FF"/>
                <w:w w:val="98"/>
              </w:rPr>
            </w:pPr>
            <w:hyperlink w:anchor="page80">
              <w:r>
                <w:rPr>
                  <w:rFonts w:ascii="Arial" w:cs="Arial" w:eastAsia="Arial" w:hAnsi="Arial"/>
                  <w:sz w:val="18"/>
                  <w:szCs w:val="18"/>
                  <w:b w:val="1"/>
                  <w:bCs w:val="1"/>
                  <w:color w:val="0000FF"/>
                  <w:w w:val="98"/>
                </w:rPr>
                <w:t>PART III</w:t>
              </w:r>
            </w:hyperlink>
          </w:p>
        </w:tc>
        <w:tc>
          <w:tcPr>
            <w:tcW w:w="240" w:type="dxa"/>
            <w:vAlign w:val="bottom"/>
            <w:vMerge w:val="restart"/>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8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720" w:type="dxa"/>
            <w:vAlign w:val="bottom"/>
            <w:gridSpan w:val="3"/>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81</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240" w:type="dxa"/>
            <w:vAlign w:val="bottom"/>
          </w:tcPr>
          <w:p>
            <w:pPr>
              <w:spacing w:after="0"/>
              <w:rPr>
                <w:sz w:val="18"/>
                <w:szCs w:val="18"/>
                <w:color w:val="auto"/>
              </w:rPr>
            </w:pPr>
          </w:p>
        </w:tc>
        <w:tc>
          <w:tcPr>
            <w:tcW w:w="4100" w:type="dxa"/>
            <w:vAlign w:val="bottom"/>
            <w:gridSpan w:val="11"/>
          </w:tcPr>
          <w:p>
            <w:pPr>
              <w:spacing w:after="0"/>
              <w:rPr>
                <w:rFonts w:ascii="Arial" w:cs="Arial" w:eastAsia="Arial" w:hAnsi="Arial"/>
                <w:sz w:val="18"/>
                <w:szCs w:val="18"/>
                <w:color w:val="0000FF"/>
                <w:w w:val="90"/>
              </w:rPr>
            </w:pPr>
            <w:hyperlink w:anchor="page81">
              <w:r>
                <w:rPr>
                  <w:rFonts w:ascii="Arial" w:cs="Arial" w:eastAsia="Arial" w:hAnsi="Arial"/>
                  <w:sz w:val="18"/>
                  <w:szCs w:val="18"/>
                  <w:color w:val="0000FF"/>
                  <w:w w:val="90"/>
                </w:rPr>
                <w:t>Directors, Executive Officers and Corporate Governance</w:t>
              </w:r>
            </w:hyperlink>
          </w:p>
        </w:tc>
        <w:tc>
          <w:tcPr>
            <w:tcW w:w="4820" w:type="dxa"/>
            <w:vAlign w:val="bottom"/>
            <w:gridSpan w:val="8"/>
          </w:tcPr>
          <w:p>
            <w:pPr>
              <w:spacing w:after="0"/>
              <w:rPr>
                <w:sz w:val="18"/>
                <w:szCs w:val="18"/>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81</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1"/>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Executive Compensation</w:t>
              </w:r>
            </w:hyperlink>
          </w:p>
        </w:tc>
        <w:tc>
          <w:tcPr>
            <w:tcW w:w="4820" w:type="dxa"/>
            <w:vAlign w:val="bottom"/>
            <w:gridSpan w:val="8"/>
          </w:tcPr>
          <w:p>
            <w:pPr>
              <w:spacing w:after="0"/>
              <w:rPr>
                <w:sz w:val="18"/>
                <w:szCs w:val="18"/>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81</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rFonts w:ascii="Arial" w:cs="Arial" w:eastAsia="Arial" w:hAnsi="Arial"/>
                <w:sz w:val="18"/>
                <w:szCs w:val="18"/>
                <w:color w:val="0000FF"/>
                <w:w w:val="90"/>
              </w:rPr>
            </w:pPr>
            <w:hyperlink w:anchor="page81">
              <w:r>
                <w:rPr>
                  <w:rFonts w:ascii="Arial" w:cs="Arial" w:eastAsia="Arial" w:hAnsi="Arial"/>
                  <w:sz w:val="18"/>
                  <w:szCs w:val="18"/>
                  <w:color w:val="0000FF"/>
                  <w:w w:val="90"/>
                </w:rPr>
                <w:t>Security Ownership of Certain Beneficial Owners and Management and Related Stockholder Matters</w:t>
              </w:r>
            </w:hyperlink>
          </w:p>
        </w:tc>
        <w:tc>
          <w:tcPr>
            <w:tcW w:w="1620" w:type="dxa"/>
            <w:vAlign w:val="bottom"/>
            <w:gridSpan w:val="2"/>
          </w:tcPr>
          <w:p>
            <w:pPr>
              <w:spacing w:after="0"/>
              <w:rPr>
                <w:sz w:val="18"/>
                <w:szCs w:val="18"/>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81</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14"/>
          </w:tcPr>
          <w:p>
            <w:pPr>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3"/>
          </w:tcPr>
          <w:p>
            <w:pPr>
              <w:spacing w:after="0"/>
              <w:rPr>
                <w:sz w:val="18"/>
                <w:szCs w:val="18"/>
                <w:color w:val="auto"/>
              </w:rPr>
            </w:pPr>
          </w:p>
        </w:tc>
        <w:tc>
          <w:tcPr>
            <w:tcW w:w="1620" w:type="dxa"/>
            <w:vAlign w:val="bottom"/>
            <w:gridSpan w:val="2"/>
          </w:tcPr>
          <w:p>
            <w:pPr>
              <w:spacing w:after="0"/>
              <w:rPr>
                <w:sz w:val="18"/>
                <w:szCs w:val="18"/>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81</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2880" w:type="dxa"/>
            <w:vAlign w:val="bottom"/>
            <w:gridSpan w:val="8"/>
          </w:tcPr>
          <w:p>
            <w:pPr>
              <w:spacing w:after="0"/>
              <w:rPr>
                <w:rFonts w:ascii="Arial" w:cs="Arial" w:eastAsia="Arial" w:hAnsi="Arial"/>
                <w:sz w:val="18"/>
                <w:szCs w:val="18"/>
                <w:color w:val="0000FF"/>
                <w:w w:val="90"/>
              </w:rPr>
            </w:pPr>
            <w:hyperlink w:anchor="page81">
              <w:r>
                <w:rPr>
                  <w:rFonts w:ascii="Arial" w:cs="Arial" w:eastAsia="Arial" w:hAnsi="Arial"/>
                  <w:sz w:val="18"/>
                  <w:szCs w:val="18"/>
                  <w:color w:val="0000FF"/>
                  <w:w w:val="90"/>
                </w:rPr>
                <w:t>Principal Accounting Fees and Services</w:t>
              </w:r>
            </w:hyperlink>
          </w:p>
        </w:tc>
        <w:tc>
          <w:tcPr>
            <w:tcW w:w="2580" w:type="dxa"/>
            <w:vAlign w:val="bottom"/>
            <w:gridSpan w:val="6"/>
          </w:tcPr>
          <w:p>
            <w:pPr>
              <w:spacing w:after="0"/>
              <w:rPr>
                <w:sz w:val="18"/>
                <w:szCs w:val="18"/>
                <w:color w:val="auto"/>
              </w:rPr>
            </w:pPr>
          </w:p>
        </w:tc>
        <w:tc>
          <w:tcPr>
            <w:tcW w:w="3460" w:type="dxa"/>
            <w:vAlign w:val="bottom"/>
            <w:gridSpan w:val="5"/>
          </w:tcPr>
          <w:p>
            <w:pPr>
              <w:spacing w:after="0"/>
              <w:rPr>
                <w:sz w:val="18"/>
                <w:szCs w:val="18"/>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81</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4"/>
            <w:vMerge w:val="restart"/>
          </w:tcPr>
          <w:p>
            <w:pPr>
              <w:spacing w:after="0"/>
              <w:rPr>
                <w:rFonts w:ascii="Arial" w:cs="Arial" w:eastAsia="Arial" w:hAnsi="Arial"/>
                <w:sz w:val="18"/>
                <w:szCs w:val="18"/>
                <w:b w:val="1"/>
                <w:bCs w:val="1"/>
                <w:color w:val="0000FF"/>
              </w:rPr>
            </w:pPr>
            <w:hyperlink w:anchor="page81">
              <w:r>
                <w:rPr>
                  <w:rFonts w:ascii="Arial" w:cs="Arial" w:eastAsia="Arial" w:hAnsi="Arial"/>
                  <w:sz w:val="18"/>
                  <w:szCs w:val="18"/>
                  <w:b w:val="1"/>
                  <w:bCs w:val="1"/>
                  <w:color w:val="0000FF"/>
                </w:rPr>
                <w:t>PART IV</w:t>
              </w:r>
            </w:hyperlink>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6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4"/>
          </w:tcPr>
          <w:p>
            <w:pPr>
              <w:jc w:val="center"/>
              <w:ind w:left="770"/>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82</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2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240" w:type="dxa"/>
            <w:vAlign w:val="bottom"/>
          </w:tcPr>
          <w:p>
            <w:pPr>
              <w:spacing w:after="0"/>
              <w:rPr>
                <w:sz w:val="18"/>
                <w:szCs w:val="18"/>
                <w:color w:val="auto"/>
              </w:rPr>
            </w:pPr>
          </w:p>
        </w:tc>
        <w:tc>
          <w:tcPr>
            <w:tcW w:w="8920" w:type="dxa"/>
            <w:vAlign w:val="bottom"/>
            <w:gridSpan w:val="19"/>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Exhibits, Financial Statement Schedules</w:t>
              </w:r>
            </w:hyperlink>
          </w:p>
        </w:tc>
        <w:tc>
          <w:tcPr>
            <w:tcW w:w="1120" w:type="dxa"/>
            <w:vAlign w:val="bottom"/>
            <w:gridSpan w:val="4"/>
          </w:tcPr>
          <w:p>
            <w:pPr>
              <w:jc w:val="center"/>
              <w:ind w:left="770"/>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82</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602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148">
              <w:r>
                <w:rPr>
                  <w:rFonts w:ascii="Arial" w:cs="Arial" w:eastAsia="Arial" w:hAnsi="Arial"/>
                  <w:sz w:val="18"/>
                  <w:szCs w:val="18"/>
                  <w:color w:val="0000FF"/>
                  <w:w w:val="92"/>
                </w:rPr>
                <w:t>Form 10-K Summary</w:t>
              </w:r>
            </w:hyperlink>
          </w:p>
        </w:tc>
        <w:tc>
          <w:tcPr>
            <w:tcW w:w="1340" w:type="dxa"/>
            <w:vAlign w:val="bottom"/>
            <w:gridSpan w:val="4"/>
          </w:tcPr>
          <w:p>
            <w:pPr>
              <w:spacing w:after="0"/>
              <w:rPr>
                <w:sz w:val="18"/>
                <w:szCs w:val="18"/>
                <w:color w:val="auto"/>
              </w:rPr>
            </w:pPr>
          </w:p>
        </w:tc>
        <w:tc>
          <w:tcPr>
            <w:tcW w:w="6020" w:type="dxa"/>
            <w:vAlign w:val="bottom"/>
            <w:gridSpan w:val="10"/>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Borders>
              <w:bottom w:val="single" w:sz="8" w:color="0000FF"/>
            </w:tcBorders>
            <w:gridSpan w:val="3"/>
          </w:tcPr>
          <w:p>
            <w:pPr>
              <w:jc w:val="center"/>
              <w:spacing w:after="0"/>
              <w:rPr>
                <w:rFonts w:ascii="Arial" w:cs="Arial" w:eastAsia="Arial" w:hAnsi="Arial"/>
                <w:sz w:val="18"/>
                <w:szCs w:val="18"/>
                <w:color w:val="0000FF"/>
                <w:w w:val="93"/>
              </w:rPr>
            </w:pPr>
            <w:hyperlink w:anchor="page148">
              <w:r>
                <w:rPr>
                  <w:rFonts w:ascii="Arial" w:cs="Arial" w:eastAsia="Arial" w:hAnsi="Arial"/>
                  <w:sz w:val="18"/>
                  <w:szCs w:val="18"/>
                  <w:color w:val="0000FF"/>
                  <w:w w:val="93"/>
                </w:rPr>
                <w:t>148</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00" w:type="dxa"/>
            <w:vAlign w:val="bottom"/>
            <w:gridSpan w:val="13"/>
          </w:tcPr>
          <w:p>
            <w:pPr>
              <w:ind w:left="460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ind w:left="20"/>
        <w:spacing w:after="0"/>
        <w:rPr>
          <w:sz w:val="20"/>
          <w:szCs w:val="20"/>
          <w:color w:val="auto"/>
        </w:rPr>
      </w:pPr>
      <w:r>
        <w:rPr>
          <w:rFonts w:ascii="Arial" w:cs="Arial" w:eastAsia="Arial" w:hAnsi="Arial"/>
          <w:sz w:val="16"/>
          <w:szCs w:val="16"/>
          <w:b w:val="1"/>
          <w:bCs w:val="1"/>
          <w:color w:val="221E1F"/>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221E1F"/>
        </w:rPr>
        <w:t>The following terms or acronyms used in this Form 10-K are defined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Term or Acronym</w:t>
            </w:r>
          </w:p>
        </w:tc>
        <w:tc>
          <w:tcPr>
            <w:tcW w:w="80" w:type="dxa"/>
            <w:vAlign w:val="bottom"/>
            <w:tcBorders>
              <w:bottom w:val="single" w:sz="8" w:color="CCEEFF"/>
            </w:tcBorders>
          </w:tcPr>
          <w:p>
            <w:pPr>
              <w:spacing w:after="0"/>
              <w:rPr>
                <w:sz w:val="18"/>
                <w:szCs w:val="18"/>
                <w:color w:val="auto"/>
              </w:rPr>
            </w:pPr>
          </w:p>
        </w:tc>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Definition</w:t>
            </w:r>
          </w:p>
        </w:tc>
        <w:tc>
          <w:tcPr>
            <w:tcW w:w="0" w:type="dxa"/>
            <w:vAlign w:val="bottom"/>
          </w:tcPr>
          <w:p>
            <w:pPr>
              <w:spacing w:after="0"/>
              <w:rPr>
                <w:sz w:val="1"/>
                <w:szCs w:val="1"/>
                <w:color w:val="auto"/>
              </w:rPr>
            </w:pPr>
          </w:p>
        </w:tc>
      </w:tr>
      <w:tr>
        <w:trPr>
          <w:trHeight w:val="212"/>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2021</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6.625% senior subordinated notes due 2021 issued by SGI</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Arial" w:cs="Arial" w:eastAsia="Arial" w:hAnsi="Arial"/>
                <w:sz w:val="16"/>
                <w:szCs w:val="16"/>
                <w:color w:val="auto"/>
                <w:w w:val="95"/>
              </w:rPr>
              <w:t>2025</w:t>
            </w:r>
          </w:p>
        </w:tc>
        <w:tc>
          <w:tcPr>
            <w:tcW w:w="2080" w:type="dxa"/>
            <w:vAlign w:val="bottom"/>
            <w:gridSpan w:val="2"/>
          </w:tcPr>
          <w:p>
            <w:pPr>
              <w:ind w:left="20"/>
              <w:spacing w:after="0"/>
              <w:rPr>
                <w:sz w:val="20"/>
                <w:szCs w:val="20"/>
                <w:color w:val="auto"/>
              </w:rPr>
            </w:pPr>
            <w:r>
              <w:rPr>
                <w:rFonts w:ascii="Arial" w:cs="Arial" w:eastAsia="Arial" w:hAnsi="Arial"/>
                <w:sz w:val="16"/>
                <w:szCs w:val="16"/>
                <w:color w:val="auto"/>
              </w:rPr>
              <w:t>Secured Notes</w:t>
            </w:r>
          </w:p>
        </w:tc>
        <w:tc>
          <w:tcPr>
            <w:tcW w:w="8780" w:type="dxa"/>
            <w:vAlign w:val="bottom"/>
          </w:tcPr>
          <w:p>
            <w:pPr>
              <w:ind w:left="20"/>
              <w:spacing w:after="0"/>
              <w:rPr>
                <w:sz w:val="20"/>
                <w:szCs w:val="20"/>
                <w:color w:val="auto"/>
              </w:rPr>
            </w:pPr>
            <w:r>
              <w:rPr>
                <w:rFonts w:ascii="Arial" w:cs="Arial" w:eastAsia="Arial" w:hAnsi="Arial"/>
                <w:sz w:val="16"/>
                <w:szCs w:val="16"/>
                <w:color w:val="auto"/>
              </w:rPr>
              <w:t>5.000% senior secured notes due 2025 issued by SGI</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2026</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Secured Euro Notes</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3.375% senior secured notes due 2026 issued by SGI</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Arial" w:cs="Arial" w:eastAsia="Arial" w:hAnsi="Arial"/>
                <w:sz w:val="16"/>
                <w:szCs w:val="16"/>
                <w:color w:val="auto"/>
                <w:w w:val="95"/>
              </w:rPr>
              <w:t>2026</w:t>
            </w:r>
          </w:p>
        </w:tc>
        <w:tc>
          <w:tcPr>
            <w:tcW w:w="2080" w:type="dxa"/>
            <w:vAlign w:val="bottom"/>
            <w:gridSpan w:val="2"/>
          </w:tcPr>
          <w:p>
            <w:pPr>
              <w:ind w:left="20"/>
              <w:spacing w:after="0"/>
              <w:rPr>
                <w:sz w:val="20"/>
                <w:szCs w:val="20"/>
                <w:color w:val="auto"/>
              </w:rPr>
            </w:pPr>
            <w:r>
              <w:rPr>
                <w:rFonts w:ascii="Arial" w:cs="Arial" w:eastAsia="Arial" w:hAnsi="Arial"/>
                <w:sz w:val="16"/>
                <w:szCs w:val="16"/>
                <w:color w:val="auto"/>
              </w:rPr>
              <w:t>Unsecured Euro Notes</w:t>
            </w:r>
          </w:p>
        </w:tc>
        <w:tc>
          <w:tcPr>
            <w:tcW w:w="8780" w:type="dxa"/>
            <w:vAlign w:val="bottom"/>
          </w:tcPr>
          <w:p>
            <w:pPr>
              <w:ind w:left="20"/>
              <w:spacing w:after="0"/>
              <w:rPr>
                <w:sz w:val="20"/>
                <w:szCs w:val="20"/>
                <w:color w:val="auto"/>
              </w:rPr>
            </w:pPr>
            <w:r>
              <w:rPr>
                <w:rFonts w:ascii="Arial" w:cs="Arial" w:eastAsia="Arial" w:hAnsi="Arial"/>
                <w:sz w:val="16"/>
                <w:szCs w:val="16"/>
                <w:color w:val="auto"/>
              </w:rPr>
              <w:t>5.500% senior unsecured notes due 2026 issued by SGI</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2022</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Unsecured Notes</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10.000% senior unsecured notes due 2022 issued by SGI</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Arial" w:cs="Arial" w:eastAsia="Arial" w:hAnsi="Arial"/>
                <w:sz w:val="16"/>
                <w:szCs w:val="16"/>
                <w:color w:val="auto"/>
                <w:w w:val="95"/>
              </w:rPr>
              <w:t>2025</w:t>
            </w:r>
          </w:p>
        </w:tc>
        <w:tc>
          <w:tcPr>
            <w:tcW w:w="2080" w:type="dxa"/>
            <w:vAlign w:val="bottom"/>
            <w:gridSpan w:val="2"/>
          </w:tcPr>
          <w:p>
            <w:pPr>
              <w:ind w:left="20"/>
              <w:spacing w:after="0"/>
              <w:rPr>
                <w:sz w:val="20"/>
                <w:szCs w:val="20"/>
                <w:color w:val="auto"/>
              </w:rPr>
            </w:pPr>
            <w:r>
              <w:rPr>
                <w:rFonts w:ascii="Arial" w:cs="Arial" w:eastAsia="Arial" w:hAnsi="Arial"/>
                <w:sz w:val="16"/>
                <w:szCs w:val="16"/>
                <w:color w:val="auto"/>
              </w:rPr>
              <w:t>Unsecured Notes</w:t>
            </w:r>
          </w:p>
        </w:tc>
        <w:tc>
          <w:tcPr>
            <w:tcW w:w="8780" w:type="dxa"/>
            <w:vAlign w:val="bottom"/>
          </w:tcPr>
          <w:p>
            <w:pPr>
              <w:ind w:left="20"/>
              <w:spacing w:after="0"/>
              <w:rPr>
                <w:sz w:val="20"/>
                <w:szCs w:val="20"/>
                <w:color w:val="auto"/>
              </w:rPr>
            </w:pPr>
            <w:r>
              <w:rPr>
                <w:rFonts w:ascii="Arial" w:cs="Arial" w:eastAsia="Arial" w:hAnsi="Arial"/>
                <w:sz w:val="16"/>
                <w:szCs w:val="16"/>
                <w:color w:val="auto"/>
              </w:rPr>
              <w:t>8.625% senior unsecured notes due 2025 issued by SGI</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2026</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Unsecured Notes</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8.250% senior unsecured notes due 2026 issued by SGI</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Arial" w:cs="Arial" w:eastAsia="Arial" w:hAnsi="Arial"/>
                <w:sz w:val="16"/>
                <w:szCs w:val="16"/>
                <w:color w:val="auto"/>
                <w:w w:val="95"/>
              </w:rPr>
              <w:t>2028</w:t>
            </w:r>
          </w:p>
        </w:tc>
        <w:tc>
          <w:tcPr>
            <w:tcW w:w="2080" w:type="dxa"/>
            <w:vAlign w:val="bottom"/>
            <w:gridSpan w:val="2"/>
          </w:tcPr>
          <w:p>
            <w:pPr>
              <w:ind w:left="20"/>
              <w:spacing w:after="0"/>
              <w:rPr>
                <w:sz w:val="20"/>
                <w:szCs w:val="20"/>
                <w:color w:val="auto"/>
              </w:rPr>
            </w:pPr>
            <w:r>
              <w:rPr>
                <w:rFonts w:ascii="Arial" w:cs="Arial" w:eastAsia="Arial" w:hAnsi="Arial"/>
                <w:sz w:val="16"/>
                <w:szCs w:val="16"/>
                <w:color w:val="auto"/>
              </w:rPr>
              <w:t>Unsecured Notes</w:t>
            </w:r>
          </w:p>
        </w:tc>
        <w:tc>
          <w:tcPr>
            <w:tcW w:w="8780" w:type="dxa"/>
            <w:vAlign w:val="bottom"/>
          </w:tcPr>
          <w:p>
            <w:pPr>
              <w:ind w:left="20"/>
              <w:spacing w:after="0"/>
              <w:rPr>
                <w:sz w:val="20"/>
                <w:szCs w:val="20"/>
                <w:color w:val="auto"/>
              </w:rPr>
            </w:pPr>
            <w:r>
              <w:rPr>
                <w:rFonts w:ascii="Arial" w:cs="Arial" w:eastAsia="Arial" w:hAnsi="Arial"/>
                <w:sz w:val="16"/>
                <w:szCs w:val="16"/>
                <w:color w:val="auto"/>
              </w:rPr>
              <w:t>7.000% senior unsecured notes due 2028 issued by SGI</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2029</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Unsecured Notes</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7.250% senior unsecured notes due 2029 issued by SGI</w:t>
            </w:r>
          </w:p>
        </w:tc>
        <w:tc>
          <w:tcPr>
            <w:tcW w:w="0" w:type="dxa"/>
            <w:vAlign w:val="bottom"/>
          </w:tcPr>
          <w:p>
            <w:pPr>
              <w:spacing w:after="0"/>
              <w:rPr>
                <w:sz w:val="1"/>
                <w:szCs w:val="1"/>
                <w:color w:val="auto"/>
              </w:rPr>
            </w:pPr>
          </w:p>
        </w:tc>
      </w:tr>
      <w:tr>
        <w:trPr>
          <w:trHeight w:val="213"/>
        </w:trPr>
        <w:tc>
          <w:tcPr>
            <w:tcW w:w="2460" w:type="dxa"/>
            <w:vAlign w:val="bottom"/>
            <w:gridSpan w:val="3"/>
          </w:tcPr>
          <w:p>
            <w:pPr>
              <w:ind w:left="20"/>
              <w:spacing w:after="0"/>
              <w:rPr>
                <w:sz w:val="20"/>
                <w:szCs w:val="20"/>
                <w:color w:val="auto"/>
              </w:rPr>
            </w:pPr>
            <w:r>
              <w:rPr>
                <w:rFonts w:ascii="Arial" w:cs="Arial" w:eastAsia="Arial" w:hAnsi="Arial"/>
                <w:sz w:val="16"/>
                <w:szCs w:val="16"/>
                <w:color w:val="auto"/>
              </w:rPr>
              <w:t>AEBITDA</w:t>
            </w:r>
          </w:p>
        </w:tc>
        <w:tc>
          <w:tcPr>
            <w:tcW w:w="8780" w:type="dxa"/>
            <w:vAlign w:val="bottom"/>
          </w:tcPr>
          <w:p>
            <w:pPr>
              <w:ind w:left="20"/>
              <w:spacing w:after="0"/>
              <w:rPr>
                <w:sz w:val="20"/>
                <w:szCs w:val="20"/>
                <w:color w:val="auto"/>
              </w:rPr>
            </w:pPr>
            <w:r>
              <w:rPr>
                <w:rFonts w:ascii="Arial" w:cs="Arial" w:eastAsia="Arial" w:hAnsi="Arial"/>
                <w:sz w:val="16"/>
                <w:szCs w:val="16"/>
                <w:color w:val="auto"/>
              </w:rPr>
              <w:t>Adjusted EBITDA, our primary performance measure of profit or loss for our business segments</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ASC</w:t>
            </w: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Arial" w:cs="Arial" w:eastAsia="Arial" w:hAnsi="Arial"/>
                <w:sz w:val="16"/>
                <w:szCs w:val="16"/>
                <w:color w:val="auto"/>
              </w:rPr>
              <w:t>ASU</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21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Bally</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Bally Technologies, Inc.</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Arial" w:cs="Arial" w:eastAsia="Arial" w:hAnsi="Arial"/>
                <w:sz w:val="16"/>
                <w:szCs w:val="16"/>
                <w:color w:val="auto"/>
                <w:w w:val="95"/>
              </w:rPr>
              <w:t>CMS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6"/>
                <w:szCs w:val="16"/>
                <w:color w:val="auto"/>
              </w:rPr>
              <w:t>casino-management system</w:t>
            </w:r>
          </w:p>
        </w:tc>
        <w:tc>
          <w:tcPr>
            <w:tcW w:w="0" w:type="dxa"/>
            <w:vAlign w:val="bottom"/>
          </w:tcPr>
          <w:p>
            <w:pPr>
              <w:spacing w:after="0"/>
              <w:rPr>
                <w:sz w:val="1"/>
                <w:szCs w:val="1"/>
                <w:color w:val="auto"/>
              </w:rPr>
            </w:pPr>
          </w:p>
        </w:tc>
      </w:tr>
      <w:tr>
        <w:trPr>
          <w:trHeight w:val="21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Coin-in</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amount wagered</w:t>
            </w:r>
          </w:p>
        </w:tc>
        <w:tc>
          <w:tcPr>
            <w:tcW w:w="0" w:type="dxa"/>
            <w:vAlign w:val="bottom"/>
          </w:tcPr>
          <w:p>
            <w:pPr>
              <w:spacing w:after="0"/>
              <w:rPr>
                <w:sz w:val="1"/>
                <w:szCs w:val="1"/>
                <w:color w:val="auto"/>
              </w:rPr>
            </w:pPr>
          </w:p>
        </w:tc>
      </w:tr>
      <w:tr>
        <w:trPr>
          <w:trHeight w:val="213"/>
        </w:trPr>
        <w:tc>
          <w:tcPr>
            <w:tcW w:w="2460" w:type="dxa"/>
            <w:vAlign w:val="bottom"/>
            <w:gridSpan w:val="3"/>
          </w:tcPr>
          <w:p>
            <w:pPr>
              <w:ind w:left="20"/>
              <w:spacing w:after="0"/>
              <w:rPr>
                <w:sz w:val="20"/>
                <w:szCs w:val="20"/>
                <w:color w:val="auto"/>
              </w:rPr>
            </w:pPr>
            <w:r>
              <w:rPr>
                <w:rFonts w:ascii="Arial" w:cs="Arial" w:eastAsia="Arial" w:hAnsi="Arial"/>
                <w:sz w:val="16"/>
                <w:szCs w:val="16"/>
                <w:color w:val="auto"/>
              </w:rPr>
              <w:t>COVID-19</w:t>
            </w:r>
          </w:p>
        </w:tc>
        <w:tc>
          <w:tcPr>
            <w:tcW w:w="8780" w:type="dxa"/>
            <w:vAlign w:val="bottom"/>
          </w:tcPr>
          <w:p>
            <w:pPr>
              <w:ind w:left="20"/>
              <w:spacing w:after="0"/>
              <w:rPr>
                <w:sz w:val="20"/>
                <w:szCs w:val="20"/>
                <w:color w:val="auto"/>
              </w:rPr>
            </w:pPr>
            <w:r>
              <w:rPr>
                <w:rFonts w:ascii="Arial" w:cs="Arial" w:eastAsia="Arial" w:hAnsi="Arial"/>
                <w:sz w:val="16"/>
                <w:szCs w:val="16"/>
                <w:color w:val="auto"/>
              </w:rPr>
              <w:t>Coronavirus disease first identified in 2019 (declared a pandemic by the World Health Organization on March 11, 2020)</w:t>
            </w:r>
          </w:p>
        </w:tc>
        <w:tc>
          <w:tcPr>
            <w:tcW w:w="0" w:type="dxa"/>
            <w:vAlign w:val="bottom"/>
          </w:tcPr>
          <w:p>
            <w:pPr>
              <w:spacing w:after="0"/>
              <w:rPr>
                <w:sz w:val="1"/>
                <w:szCs w:val="1"/>
                <w:color w:val="auto"/>
              </w:rPr>
            </w:pPr>
          </w:p>
        </w:tc>
      </w:tr>
      <w:tr>
        <w:trPr>
          <w:trHeight w:val="21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D&amp;A</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amortization and impairments (excluding goodwill)</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Arial" w:cs="Arial" w:eastAsia="Arial" w:hAnsi="Arial"/>
                <w:sz w:val="16"/>
                <w:szCs w:val="16"/>
                <w:color w:val="auto"/>
              </w:rPr>
              <w:t>ERP</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6"/>
                <w:szCs w:val="16"/>
                <w:color w:val="auto"/>
              </w:rPr>
              <w:t>enterprise resource planning</w:t>
            </w:r>
          </w:p>
        </w:tc>
        <w:tc>
          <w:tcPr>
            <w:tcW w:w="0" w:type="dxa"/>
            <w:vAlign w:val="bottom"/>
          </w:tcPr>
          <w:p>
            <w:pPr>
              <w:spacing w:after="0"/>
              <w:rPr>
                <w:sz w:val="1"/>
                <w:szCs w:val="1"/>
                <w:color w:val="auto"/>
              </w:rPr>
            </w:pPr>
          </w:p>
        </w:tc>
      </w:tr>
      <w:tr>
        <w:trPr>
          <w:trHeight w:val="21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ESPP</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Arial" w:cs="Arial" w:eastAsia="Arial" w:hAnsi="Arial"/>
                <w:sz w:val="16"/>
                <w:szCs w:val="16"/>
                <w:color w:val="auto"/>
              </w:rPr>
              <w:t>ETS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6"/>
                <w:szCs w:val="16"/>
                <w:color w:val="auto"/>
              </w:rPr>
              <w:t>electronic table system</w:t>
            </w:r>
          </w:p>
        </w:tc>
        <w:tc>
          <w:tcPr>
            <w:tcW w:w="0" w:type="dxa"/>
            <w:vAlign w:val="bottom"/>
          </w:tcPr>
          <w:p>
            <w:pPr>
              <w:spacing w:after="0"/>
              <w:rPr>
                <w:sz w:val="1"/>
                <w:szCs w:val="1"/>
                <w:color w:val="auto"/>
              </w:rPr>
            </w:pPr>
          </w:p>
        </w:tc>
      </w:tr>
      <w:tr>
        <w:trPr>
          <w:trHeight w:val="21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Exchange Act</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Exchange Act of 1934, as amended</w:t>
            </w:r>
          </w:p>
        </w:tc>
        <w:tc>
          <w:tcPr>
            <w:tcW w:w="0" w:type="dxa"/>
            <w:vAlign w:val="bottom"/>
          </w:tcPr>
          <w:p>
            <w:pPr>
              <w:spacing w:after="0"/>
              <w:rPr>
                <w:sz w:val="1"/>
                <w:szCs w:val="1"/>
                <w:color w:val="auto"/>
              </w:rPr>
            </w:pPr>
          </w:p>
        </w:tc>
      </w:tr>
      <w:tr>
        <w:trPr>
          <w:trHeight w:val="213"/>
        </w:trPr>
        <w:tc>
          <w:tcPr>
            <w:tcW w:w="2460" w:type="dxa"/>
            <w:vAlign w:val="bottom"/>
            <w:gridSpan w:val="3"/>
          </w:tcPr>
          <w:p>
            <w:pPr>
              <w:ind w:left="20"/>
              <w:spacing w:after="0"/>
              <w:rPr>
                <w:sz w:val="20"/>
                <w:szCs w:val="20"/>
                <w:color w:val="auto"/>
              </w:rPr>
            </w:pPr>
            <w:r>
              <w:rPr>
                <w:rFonts w:ascii="Arial" w:cs="Arial" w:eastAsia="Arial" w:hAnsi="Arial"/>
                <w:sz w:val="16"/>
                <w:szCs w:val="16"/>
                <w:color w:val="auto"/>
              </w:rPr>
              <w:t>FASB</w:t>
            </w:r>
          </w:p>
        </w:tc>
        <w:tc>
          <w:tcPr>
            <w:tcW w:w="8780" w:type="dxa"/>
            <w:vAlign w:val="bottom"/>
          </w:tcPr>
          <w:p>
            <w:pPr>
              <w:ind w:left="2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21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GDPR</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Data Protection Regulation</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Arial" w:cs="Arial" w:eastAsia="Arial" w:hAnsi="Arial"/>
                <w:sz w:val="16"/>
                <w:szCs w:val="16"/>
                <w:color w:val="auto"/>
              </w:rPr>
              <w:t>KPIs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6"/>
                <w:szCs w:val="16"/>
                <w:color w:val="auto"/>
              </w:rPr>
              <w:t>Key Performance Indicators</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LAP</w:t>
            </w: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local-area progressive</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Arial" w:cs="Arial" w:eastAsia="Arial" w:hAnsi="Arial"/>
                <w:sz w:val="16"/>
                <w:szCs w:val="16"/>
                <w:color w:val="auto"/>
              </w:rPr>
              <w:t>LBO</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6"/>
                <w:szCs w:val="16"/>
                <w:color w:val="auto"/>
              </w:rPr>
              <w:t>licensed betting office</w:t>
            </w:r>
          </w:p>
        </w:tc>
        <w:tc>
          <w:tcPr>
            <w:tcW w:w="0" w:type="dxa"/>
            <w:vAlign w:val="bottom"/>
          </w:tcPr>
          <w:p>
            <w:pPr>
              <w:spacing w:after="0"/>
              <w:rPr>
                <w:sz w:val="1"/>
                <w:szCs w:val="1"/>
                <w:color w:val="auto"/>
              </w:rPr>
            </w:pPr>
          </w:p>
        </w:tc>
      </w:tr>
      <w:tr>
        <w:trPr>
          <w:trHeight w:val="21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LIBOR</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213"/>
        </w:trPr>
        <w:tc>
          <w:tcPr>
            <w:tcW w:w="2460" w:type="dxa"/>
            <w:vAlign w:val="bottom"/>
            <w:gridSpan w:val="3"/>
          </w:tcPr>
          <w:p>
            <w:pPr>
              <w:ind w:left="20"/>
              <w:spacing w:after="0"/>
              <w:rPr>
                <w:sz w:val="20"/>
                <w:szCs w:val="20"/>
                <w:color w:val="auto"/>
              </w:rPr>
            </w:pPr>
            <w:r>
              <w:rPr>
                <w:rFonts w:ascii="Arial" w:cs="Arial" w:eastAsia="Arial" w:hAnsi="Arial"/>
                <w:sz w:val="16"/>
                <w:szCs w:val="16"/>
                <w:color w:val="auto"/>
              </w:rPr>
              <w:t>Net win</w:t>
            </w:r>
          </w:p>
        </w:tc>
        <w:tc>
          <w:tcPr>
            <w:tcW w:w="8780" w:type="dxa"/>
            <w:vAlign w:val="bottom"/>
          </w:tcPr>
          <w:p>
            <w:pPr>
              <w:ind w:left="20"/>
              <w:spacing w:after="0"/>
              <w:rPr>
                <w:sz w:val="20"/>
                <w:szCs w:val="20"/>
                <w:color w:val="auto"/>
              </w:rPr>
            </w:pPr>
            <w:r>
              <w:rPr>
                <w:rFonts w:ascii="Arial" w:cs="Arial" w:eastAsia="Arial" w:hAnsi="Arial"/>
                <w:sz w:val="16"/>
                <w:szCs w:val="16"/>
                <w:color w:val="auto"/>
              </w:rPr>
              <w:t>Coin-in less payouts</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w:t>
            </w: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 note in the Notes to Consolidated Financial Statements in this Annual Report on Form 10-K, unless otherwise indicated</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Arial" w:cs="Arial" w:eastAsia="Arial" w:hAnsi="Arial"/>
                <w:sz w:val="16"/>
                <w:szCs w:val="16"/>
                <w:color w:val="auto"/>
              </w:rPr>
              <w:t>NOL</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6"/>
                <w:szCs w:val="16"/>
                <w:color w:val="auto"/>
              </w:rPr>
              <w:t>net operating loss</w:t>
            </w:r>
          </w:p>
        </w:tc>
        <w:tc>
          <w:tcPr>
            <w:tcW w:w="0" w:type="dxa"/>
            <w:vAlign w:val="bottom"/>
          </w:tcPr>
          <w:p>
            <w:pPr>
              <w:spacing w:after="0"/>
              <w:rPr>
                <w:sz w:val="1"/>
                <w:szCs w:val="1"/>
                <w:color w:val="auto"/>
              </w:rPr>
            </w:pPr>
          </w:p>
        </w:tc>
      </w:tr>
      <w:tr>
        <w:trPr>
          <w:trHeight w:val="169"/>
        </w:trPr>
        <w:tc>
          <w:tcPr>
            <w:tcW w:w="3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with respect to our Gaming business, refers to gaming machines provided to customers through service or leasing arrangements in</w:t>
            </w:r>
          </w:p>
        </w:tc>
        <w:tc>
          <w:tcPr>
            <w:tcW w:w="0" w:type="dxa"/>
            <w:vAlign w:val="bottom"/>
          </w:tcPr>
          <w:p>
            <w:pPr>
              <w:spacing w:after="0"/>
              <w:rPr>
                <w:sz w:val="1"/>
                <w:szCs w:val="1"/>
                <w:color w:val="auto"/>
              </w:rPr>
            </w:pPr>
          </w:p>
        </w:tc>
      </w:tr>
      <w:tr>
        <w:trPr>
          <w:trHeight w:val="162"/>
        </w:trPr>
        <w:tc>
          <w:tcPr>
            <w:tcW w:w="2460" w:type="dxa"/>
            <w:vAlign w:val="bottom"/>
            <w:gridSpan w:val="3"/>
            <w:vMerge w:val="restart"/>
            <w:shd w:val="clear" w:color="auto" w:fill="CCEEFF"/>
          </w:tcPr>
          <w:p>
            <w:pPr>
              <w:ind w:left="20"/>
              <w:spacing w:after="0"/>
              <w:rPr>
                <w:sz w:val="20"/>
                <w:szCs w:val="20"/>
                <w:color w:val="auto"/>
              </w:rPr>
            </w:pPr>
            <w:r>
              <w:rPr>
                <w:rFonts w:ascii="Arial" w:cs="Arial" w:eastAsia="Arial" w:hAnsi="Arial"/>
                <w:sz w:val="16"/>
                <w:szCs w:val="16"/>
                <w:color w:val="auto"/>
              </w:rPr>
              <w:t>Participation</w:t>
            </w:r>
          </w:p>
        </w:tc>
        <w:tc>
          <w:tcPr>
            <w:tcW w:w="87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6"/>
              </w:rPr>
              <w:t>which we earn revenues and are paid based on: (1) a percentage of the amount wagered less payouts; (2) fixed daily-fees; (3) a</w:t>
            </w:r>
          </w:p>
        </w:tc>
        <w:tc>
          <w:tcPr>
            <w:tcW w:w="0" w:type="dxa"/>
            <w:vAlign w:val="bottom"/>
          </w:tcPr>
          <w:p>
            <w:pPr>
              <w:spacing w:after="0"/>
              <w:rPr>
                <w:sz w:val="1"/>
                <w:szCs w:val="1"/>
                <w:color w:val="auto"/>
              </w:rPr>
            </w:pPr>
          </w:p>
        </w:tc>
      </w:tr>
      <w:tr>
        <w:trPr>
          <w:trHeight w:val="125"/>
        </w:trPr>
        <w:tc>
          <w:tcPr>
            <w:tcW w:w="2460" w:type="dxa"/>
            <w:vAlign w:val="bottom"/>
            <w:gridSpan w:val="3"/>
            <w:vMerge w:val="continue"/>
            <w:shd w:val="clear" w:color="auto" w:fill="CCEEFF"/>
          </w:tcPr>
          <w:p>
            <w:pPr>
              <w:spacing w:after="0"/>
              <w:rPr>
                <w:sz w:val="10"/>
                <w:szCs w:val="10"/>
                <w:color w:val="auto"/>
              </w:rPr>
            </w:pPr>
          </w:p>
        </w:tc>
        <w:tc>
          <w:tcPr>
            <w:tcW w:w="8780" w:type="dxa"/>
            <w:vAlign w:val="bottom"/>
            <w:vMerge w:val="restart"/>
            <w:shd w:val="clear" w:color="auto" w:fill="CCEEFF"/>
          </w:tcPr>
          <w:p>
            <w:pPr>
              <w:ind w:left="20"/>
              <w:spacing w:after="0" w:line="162" w:lineRule="exact"/>
              <w:rPr>
                <w:sz w:val="20"/>
                <w:szCs w:val="20"/>
                <w:color w:val="auto"/>
              </w:rPr>
            </w:pPr>
            <w:r>
              <w:rPr>
                <w:rFonts w:ascii="Arial" w:cs="Arial" w:eastAsia="Arial" w:hAnsi="Arial"/>
                <w:sz w:val="16"/>
                <w:szCs w:val="16"/>
                <w:color w:val="auto"/>
                <w:w w:val="92"/>
              </w:rPr>
              <w:t>percentage of the amount wagered; or (4) a combination of (2) and (3), and with respect to our Lottery business, refers to a contract or</w:t>
            </w:r>
          </w:p>
        </w:tc>
        <w:tc>
          <w:tcPr>
            <w:tcW w:w="0" w:type="dxa"/>
            <w:vAlign w:val="bottom"/>
          </w:tcPr>
          <w:p>
            <w:pPr>
              <w:spacing w:after="0"/>
              <w:rPr>
                <w:sz w:val="1"/>
                <w:szCs w:val="1"/>
                <w:color w:val="auto"/>
              </w:rPr>
            </w:pPr>
          </w:p>
        </w:tc>
      </w:tr>
      <w:tr>
        <w:trPr>
          <w:trHeight w:val="37"/>
        </w:trPr>
        <w:tc>
          <w:tcPr>
            <w:tcW w:w="38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78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arrangement in which we earn revenues and are paid based on a percentage of retail sales</w:t>
            </w:r>
          </w:p>
        </w:tc>
        <w:tc>
          <w:tcPr>
            <w:tcW w:w="0" w:type="dxa"/>
            <w:vAlign w:val="bottom"/>
          </w:tcPr>
          <w:p>
            <w:pPr>
              <w:spacing w:after="0"/>
              <w:rPr>
                <w:sz w:val="1"/>
                <w:szCs w:val="1"/>
                <w:color w:val="auto"/>
              </w:rPr>
            </w:pPr>
          </w:p>
        </w:tc>
      </w:tr>
      <w:tr>
        <w:trPr>
          <w:trHeight w:val="213"/>
        </w:trPr>
        <w:tc>
          <w:tcPr>
            <w:tcW w:w="2460" w:type="dxa"/>
            <w:vAlign w:val="bottom"/>
            <w:gridSpan w:val="3"/>
          </w:tcPr>
          <w:p>
            <w:pPr>
              <w:ind w:left="20"/>
              <w:spacing w:after="0"/>
              <w:rPr>
                <w:sz w:val="20"/>
                <w:szCs w:val="20"/>
                <w:color w:val="auto"/>
              </w:rPr>
            </w:pPr>
            <w:r>
              <w:rPr>
                <w:rFonts w:ascii="Arial" w:cs="Arial" w:eastAsia="Arial" w:hAnsi="Arial"/>
                <w:sz w:val="16"/>
                <w:szCs w:val="16"/>
                <w:color w:val="auto"/>
              </w:rPr>
              <w:t>PASPA</w:t>
            </w:r>
          </w:p>
        </w:tc>
        <w:tc>
          <w:tcPr>
            <w:tcW w:w="8780" w:type="dxa"/>
            <w:vAlign w:val="bottom"/>
          </w:tcPr>
          <w:p>
            <w:pPr>
              <w:ind w:left="20"/>
              <w:spacing w:after="0"/>
              <w:rPr>
                <w:sz w:val="20"/>
                <w:szCs w:val="20"/>
                <w:color w:val="auto"/>
              </w:rPr>
            </w:pPr>
            <w:r>
              <w:rPr>
                <w:rFonts w:ascii="Arial" w:cs="Arial" w:eastAsia="Arial" w:hAnsi="Arial"/>
                <w:sz w:val="16"/>
                <w:szCs w:val="16"/>
                <w:color w:val="auto"/>
              </w:rPr>
              <w:t>Professional and Amateur Sports Protection Act</w:t>
            </w:r>
          </w:p>
        </w:tc>
        <w:tc>
          <w:tcPr>
            <w:tcW w:w="0" w:type="dxa"/>
            <w:vAlign w:val="bottom"/>
          </w:tcPr>
          <w:p>
            <w:pPr>
              <w:spacing w:after="0"/>
              <w:rPr>
                <w:sz w:val="1"/>
                <w:szCs w:val="1"/>
                <w:color w:val="auto"/>
              </w:rPr>
            </w:pPr>
          </w:p>
        </w:tc>
      </w:tr>
      <w:tr>
        <w:trPr>
          <w:trHeight w:val="169"/>
        </w:trPr>
        <w:tc>
          <w:tcPr>
            <w:tcW w:w="2460" w:type="dxa"/>
            <w:vAlign w:val="bottom"/>
            <w:gridSpan w:val="3"/>
            <w:vMerge w:val="restart"/>
            <w:shd w:val="clear" w:color="auto" w:fill="CCEEFF"/>
          </w:tcPr>
          <w:p>
            <w:pPr>
              <w:ind w:left="20"/>
              <w:spacing w:after="0"/>
              <w:rPr>
                <w:sz w:val="20"/>
                <w:szCs w:val="20"/>
                <w:color w:val="auto"/>
              </w:rPr>
            </w:pPr>
            <w:r>
              <w:rPr>
                <w:rFonts w:ascii="Arial" w:cs="Arial" w:eastAsia="Arial" w:hAnsi="Arial"/>
                <w:sz w:val="16"/>
                <w:szCs w:val="16"/>
                <w:color w:val="auto"/>
              </w:rPr>
              <w:t>Pending Divestitures</w:t>
            </w:r>
          </w:p>
        </w:tc>
        <w:tc>
          <w:tcPr>
            <w:tcW w:w="8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the intended sale of our Sports Betting and Lottery businesses. The divestiture of the Lottery business is expected to close by the end</w:t>
            </w:r>
          </w:p>
        </w:tc>
        <w:tc>
          <w:tcPr>
            <w:tcW w:w="0" w:type="dxa"/>
            <w:vAlign w:val="bottom"/>
          </w:tcPr>
          <w:p>
            <w:pPr>
              <w:spacing w:after="0"/>
              <w:rPr>
                <w:sz w:val="1"/>
                <w:szCs w:val="1"/>
                <w:color w:val="auto"/>
              </w:rPr>
            </w:pPr>
          </w:p>
        </w:tc>
      </w:tr>
      <w:tr>
        <w:trPr>
          <w:trHeight w:val="162"/>
        </w:trPr>
        <w:tc>
          <w:tcPr>
            <w:tcW w:w="2460" w:type="dxa"/>
            <w:vAlign w:val="bottom"/>
            <w:gridSpan w:val="3"/>
            <w:vMerge w:val="continue"/>
            <w:shd w:val="clear" w:color="auto" w:fill="CCEEFF"/>
          </w:tcPr>
          <w:p>
            <w:pPr>
              <w:spacing w:after="0"/>
              <w:rPr>
                <w:sz w:val="14"/>
                <w:szCs w:val="14"/>
                <w:color w:val="auto"/>
              </w:rPr>
            </w:pPr>
          </w:p>
        </w:tc>
        <w:tc>
          <w:tcPr>
            <w:tcW w:w="87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2"/>
              </w:rPr>
              <w:t>of March 2022 while the sale of the Sports Betting business is on track to be completed in the second quarter of 2022, both subject to</w:t>
            </w:r>
          </w:p>
        </w:tc>
        <w:tc>
          <w:tcPr>
            <w:tcW w:w="0" w:type="dxa"/>
            <w:vAlign w:val="bottom"/>
          </w:tcPr>
          <w:p>
            <w:pPr>
              <w:spacing w:after="0"/>
              <w:rPr>
                <w:sz w:val="1"/>
                <w:szCs w:val="1"/>
                <w:color w:val="auto"/>
              </w:rPr>
            </w:pPr>
          </w:p>
        </w:tc>
      </w:tr>
      <w:tr>
        <w:trPr>
          <w:trHeight w:val="212"/>
        </w:trPr>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applicable regulatory approvals and customary closing conditions (see Notes 1 and 2)</w:t>
            </w:r>
          </w:p>
        </w:tc>
        <w:tc>
          <w:tcPr>
            <w:tcW w:w="0" w:type="dxa"/>
            <w:vAlign w:val="bottom"/>
          </w:tcPr>
          <w:p>
            <w:pPr>
              <w:spacing w:after="0"/>
              <w:rPr>
                <w:sz w:val="1"/>
                <w:szCs w:val="1"/>
                <w:color w:val="auto"/>
              </w:rPr>
            </w:pPr>
          </w:p>
        </w:tc>
      </w:tr>
      <w:tr>
        <w:trPr>
          <w:trHeight w:val="213"/>
        </w:trPr>
        <w:tc>
          <w:tcPr>
            <w:tcW w:w="2460" w:type="dxa"/>
            <w:vAlign w:val="bottom"/>
            <w:gridSpan w:val="3"/>
          </w:tcPr>
          <w:p>
            <w:pPr>
              <w:ind w:left="20"/>
              <w:spacing w:after="0"/>
              <w:rPr>
                <w:sz w:val="20"/>
                <w:szCs w:val="20"/>
                <w:color w:val="auto"/>
              </w:rPr>
            </w:pPr>
            <w:r>
              <w:rPr>
                <w:rFonts w:ascii="Arial" w:cs="Arial" w:eastAsia="Arial" w:hAnsi="Arial"/>
                <w:sz w:val="16"/>
                <w:szCs w:val="16"/>
                <w:color w:val="auto"/>
              </w:rPr>
              <w:t>PMA</w:t>
            </w:r>
          </w:p>
        </w:tc>
        <w:tc>
          <w:tcPr>
            <w:tcW w:w="8780" w:type="dxa"/>
            <w:vAlign w:val="bottom"/>
          </w:tcPr>
          <w:p>
            <w:pPr>
              <w:ind w:left="20"/>
              <w:spacing w:after="0"/>
              <w:rPr>
                <w:sz w:val="20"/>
                <w:szCs w:val="20"/>
                <w:color w:val="auto"/>
              </w:rPr>
            </w:pPr>
            <w:r>
              <w:rPr>
                <w:rFonts w:ascii="Arial" w:cs="Arial" w:eastAsia="Arial" w:hAnsi="Arial"/>
                <w:sz w:val="16"/>
                <w:szCs w:val="16"/>
                <w:color w:val="auto"/>
              </w:rPr>
              <w:t>private management agreement</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PTG</w:t>
            </w: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proprietary table games</w:t>
            </w:r>
          </w:p>
        </w:tc>
        <w:tc>
          <w:tcPr>
            <w:tcW w:w="0" w:type="dxa"/>
            <w:vAlign w:val="bottom"/>
          </w:tcPr>
          <w:p>
            <w:pPr>
              <w:spacing w:after="0"/>
              <w:rPr>
                <w:sz w:val="1"/>
                <w:szCs w:val="1"/>
                <w:color w:val="auto"/>
              </w:rPr>
            </w:pPr>
          </w:p>
        </w:tc>
      </w:tr>
      <w:tr>
        <w:trPr>
          <w:trHeight w:val="213"/>
        </w:trPr>
        <w:tc>
          <w:tcPr>
            <w:tcW w:w="2460" w:type="dxa"/>
            <w:vAlign w:val="bottom"/>
            <w:gridSpan w:val="3"/>
          </w:tcPr>
          <w:p>
            <w:pPr>
              <w:ind w:left="20"/>
              <w:spacing w:after="0"/>
              <w:rPr>
                <w:sz w:val="20"/>
                <w:szCs w:val="20"/>
                <w:color w:val="auto"/>
              </w:rPr>
            </w:pPr>
            <w:r>
              <w:rPr>
                <w:rFonts w:ascii="Arial" w:cs="Arial" w:eastAsia="Arial" w:hAnsi="Arial"/>
                <w:sz w:val="16"/>
                <w:szCs w:val="16"/>
                <w:color w:val="auto"/>
              </w:rPr>
              <w:t>R&amp;D</w:t>
            </w:r>
          </w:p>
        </w:tc>
        <w:tc>
          <w:tcPr>
            <w:tcW w:w="87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0" w:type="dxa"/>
            <w:vAlign w:val="bottom"/>
          </w:tcPr>
          <w:p>
            <w:pPr>
              <w:spacing w:after="0"/>
              <w:rPr>
                <w:sz w:val="1"/>
                <w:szCs w:val="1"/>
                <w:color w:val="auto"/>
              </w:rPr>
            </w:pPr>
          </w:p>
        </w:tc>
      </w:tr>
      <w:tr>
        <w:trPr>
          <w:trHeight w:val="21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RMG</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real-money gaming</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Arial" w:cs="Arial" w:eastAsia="Arial" w:hAnsi="Arial"/>
                <w:sz w:val="16"/>
                <w:szCs w:val="16"/>
                <w:color w:val="auto"/>
              </w:rPr>
              <w:t>RSU</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6"/>
                <w:szCs w:val="16"/>
                <w:color w:val="auto"/>
              </w:rPr>
              <w:t>restricted stock unit</w:t>
            </w:r>
          </w:p>
        </w:tc>
        <w:tc>
          <w:tcPr>
            <w:tcW w:w="0" w:type="dxa"/>
            <w:vAlign w:val="bottom"/>
          </w:tcPr>
          <w:p>
            <w:pPr>
              <w:spacing w:after="0"/>
              <w:rPr>
                <w:sz w:val="1"/>
                <w:szCs w:val="1"/>
                <w:color w:val="auto"/>
              </w:rPr>
            </w:pPr>
          </w:p>
        </w:tc>
      </w:tr>
      <w:tr>
        <w:trPr>
          <w:trHeight w:val="21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SciPlay</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SciPlay Corporation, formerly referred to as our Social business segment</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Arial" w:cs="Arial" w:eastAsia="Arial" w:hAnsi="Arial"/>
                <w:sz w:val="16"/>
                <w:szCs w:val="16"/>
                <w:color w:val="auto"/>
              </w:rPr>
              <w:t>SEC</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6"/>
                <w:szCs w:val="16"/>
                <w:color w:val="auto"/>
              </w:rPr>
              <w:t>Securities and Exchange Commission</w:t>
            </w:r>
          </w:p>
        </w:tc>
        <w:tc>
          <w:tcPr>
            <w:tcW w:w="0" w:type="dxa"/>
            <w:vAlign w:val="bottom"/>
          </w:tcPr>
          <w:p>
            <w:pPr>
              <w:spacing w:after="0"/>
              <w:rPr>
                <w:sz w:val="1"/>
                <w:szCs w:val="1"/>
                <w:color w:val="auto"/>
              </w:rPr>
            </w:pPr>
          </w:p>
        </w:tc>
      </w:tr>
      <w:tr>
        <w:trPr>
          <w:trHeight w:val="21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Secured Notes</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refers to the 2025 Secured Notes and 2026 Secured Euro Notes, collectively</w:t>
            </w:r>
          </w:p>
        </w:tc>
        <w:tc>
          <w:tcPr>
            <w:tcW w:w="0" w:type="dxa"/>
            <w:vAlign w:val="bottom"/>
          </w:tcPr>
          <w:p>
            <w:pPr>
              <w:spacing w:after="0"/>
              <w:rPr>
                <w:sz w:val="1"/>
                <w:szCs w:val="1"/>
                <w:color w:val="auto"/>
              </w:rPr>
            </w:pPr>
          </w:p>
        </w:tc>
      </w:tr>
      <w:tr>
        <w:trPr>
          <w:trHeight w:val="213"/>
        </w:trPr>
        <w:tc>
          <w:tcPr>
            <w:tcW w:w="2460" w:type="dxa"/>
            <w:vAlign w:val="bottom"/>
            <w:gridSpan w:val="3"/>
          </w:tcPr>
          <w:p>
            <w:pPr>
              <w:ind w:left="20"/>
              <w:spacing w:after="0"/>
              <w:rPr>
                <w:sz w:val="20"/>
                <w:szCs w:val="20"/>
                <w:color w:val="auto"/>
              </w:rPr>
            </w:pPr>
            <w:r>
              <w:rPr>
                <w:rFonts w:ascii="Arial" w:cs="Arial" w:eastAsia="Arial" w:hAnsi="Arial"/>
                <w:sz w:val="16"/>
                <w:szCs w:val="16"/>
                <w:color w:val="auto"/>
              </w:rPr>
              <w:t>Securities Act</w:t>
            </w:r>
          </w:p>
        </w:tc>
        <w:tc>
          <w:tcPr>
            <w:tcW w:w="8780" w:type="dxa"/>
            <w:vAlign w:val="bottom"/>
          </w:tcPr>
          <w:p>
            <w:pPr>
              <w:ind w:left="20"/>
              <w:spacing w:after="0"/>
              <w:rPr>
                <w:sz w:val="20"/>
                <w:szCs w:val="20"/>
                <w:color w:val="auto"/>
              </w:rPr>
            </w:pPr>
            <w:r>
              <w:rPr>
                <w:rFonts w:ascii="Arial" w:cs="Arial" w:eastAsia="Arial" w:hAnsi="Arial"/>
                <w:sz w:val="16"/>
                <w:szCs w:val="16"/>
                <w:color w:val="auto"/>
              </w:rPr>
              <w:t>Securities Act of 1933, as amended</w:t>
            </w:r>
          </w:p>
        </w:tc>
        <w:tc>
          <w:tcPr>
            <w:tcW w:w="0" w:type="dxa"/>
            <w:vAlign w:val="bottom"/>
          </w:tcPr>
          <w:p>
            <w:pPr>
              <w:spacing w:after="0"/>
              <w:rPr>
                <w:sz w:val="1"/>
                <w:szCs w:val="1"/>
                <w:color w:val="auto"/>
              </w:rPr>
            </w:pPr>
          </w:p>
        </w:tc>
      </w:tr>
      <w:tr>
        <w:trPr>
          <w:trHeight w:val="21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Secured Notes and the Unsecured Notes</w:t>
            </w:r>
          </w:p>
        </w:tc>
        <w:tc>
          <w:tcPr>
            <w:tcW w:w="0" w:type="dxa"/>
            <w:vAlign w:val="bottom"/>
          </w:tcPr>
          <w:p>
            <w:pPr>
              <w:spacing w:after="0"/>
              <w:rPr>
                <w:sz w:val="1"/>
                <w:szCs w:val="1"/>
                <w:color w:val="auto"/>
              </w:rPr>
            </w:pPr>
          </w:p>
        </w:tc>
      </w:tr>
      <w:tr>
        <w:trPr>
          <w:trHeight w:val="166"/>
        </w:trPr>
        <w:tc>
          <w:tcPr>
            <w:tcW w:w="2460" w:type="dxa"/>
            <w:vAlign w:val="bottom"/>
            <w:gridSpan w:val="3"/>
            <w:vMerge w:val="restart"/>
          </w:tcPr>
          <w:p>
            <w:pPr>
              <w:ind w:left="20"/>
              <w:spacing w:after="0"/>
              <w:rPr>
                <w:sz w:val="20"/>
                <w:szCs w:val="20"/>
                <w:color w:val="auto"/>
              </w:rPr>
            </w:pPr>
            <w:r>
              <w:rPr>
                <w:rFonts w:ascii="Arial" w:cs="Arial" w:eastAsia="Arial" w:hAnsi="Arial"/>
                <w:sz w:val="16"/>
                <w:szCs w:val="16"/>
                <w:color w:val="auto"/>
              </w:rPr>
              <w:t>SciPlay Revolver</w:t>
            </w:r>
          </w:p>
        </w:tc>
        <w:tc>
          <w:tcPr>
            <w:tcW w:w="8780" w:type="dxa"/>
            <w:vAlign w:val="bottom"/>
          </w:tcPr>
          <w:p>
            <w:pPr>
              <w:ind w:left="20"/>
              <w:spacing w:after="0" w:line="166" w:lineRule="exact"/>
              <w:rPr>
                <w:sz w:val="20"/>
                <w:szCs w:val="20"/>
                <w:color w:val="auto"/>
              </w:rPr>
            </w:pPr>
            <w:r>
              <w:rPr>
                <w:rFonts w:ascii="Arial" w:cs="Arial" w:eastAsia="Arial" w:hAnsi="Arial"/>
                <w:sz w:val="16"/>
                <w:szCs w:val="16"/>
                <w:color w:val="auto"/>
                <w:w w:val="94"/>
              </w:rPr>
              <w:t>$150 million revolving credit facility agreement entered into by SciPlay Holding Company, LLC, a subsidiary of SciPlay Corporation,</w:t>
            </w:r>
          </w:p>
        </w:tc>
        <w:tc>
          <w:tcPr>
            <w:tcW w:w="0" w:type="dxa"/>
            <w:vAlign w:val="bottom"/>
          </w:tcPr>
          <w:p>
            <w:pPr>
              <w:spacing w:after="0"/>
              <w:rPr>
                <w:sz w:val="1"/>
                <w:szCs w:val="1"/>
                <w:color w:val="auto"/>
              </w:rPr>
            </w:pPr>
          </w:p>
        </w:tc>
      </w:tr>
      <w:tr>
        <w:trPr>
          <w:trHeight w:val="125"/>
        </w:trPr>
        <w:tc>
          <w:tcPr>
            <w:tcW w:w="2460" w:type="dxa"/>
            <w:vAlign w:val="bottom"/>
            <w:gridSpan w:val="3"/>
            <w:vMerge w:val="continue"/>
          </w:tcPr>
          <w:p>
            <w:pPr>
              <w:spacing w:after="0"/>
              <w:rPr>
                <w:sz w:val="10"/>
                <w:szCs w:val="10"/>
                <w:color w:val="auto"/>
              </w:rPr>
            </w:pPr>
          </w:p>
        </w:tc>
        <w:tc>
          <w:tcPr>
            <w:tcW w:w="8780" w:type="dxa"/>
            <w:vAlign w:val="bottom"/>
            <w:vMerge w:val="restart"/>
          </w:tcPr>
          <w:p>
            <w:pPr>
              <w:ind w:left="20"/>
              <w:spacing w:after="0"/>
              <w:rPr>
                <w:sz w:val="20"/>
                <w:szCs w:val="20"/>
                <w:color w:val="auto"/>
              </w:rPr>
            </w:pPr>
            <w:r>
              <w:rPr>
                <w:rFonts w:ascii="Arial" w:cs="Arial" w:eastAsia="Arial" w:hAnsi="Arial"/>
                <w:sz w:val="16"/>
                <w:szCs w:val="16"/>
                <w:color w:val="auto"/>
              </w:rPr>
              <w:t>that matures in May 2024</w:t>
            </w:r>
          </w:p>
        </w:tc>
        <w:tc>
          <w:tcPr>
            <w:tcW w:w="0" w:type="dxa"/>
            <w:vAlign w:val="bottom"/>
          </w:tcPr>
          <w:p>
            <w:pPr>
              <w:spacing w:after="0"/>
              <w:rPr>
                <w:sz w:val="1"/>
                <w:szCs w:val="1"/>
                <w:color w:val="auto"/>
              </w:rPr>
            </w:pPr>
          </w:p>
        </w:tc>
      </w:tr>
      <w:tr>
        <w:trPr>
          <w:trHeight w:val="84"/>
        </w:trPr>
        <w:tc>
          <w:tcPr>
            <w:tcW w:w="3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9"/>
        </w:trPr>
        <w:tc>
          <w:tcPr>
            <w:tcW w:w="1820" w:type="dxa"/>
            <w:vAlign w:val="bottom"/>
          </w:tcPr>
          <w:p>
            <w:pPr>
              <w:ind w:left="20"/>
              <w:spacing w:after="0"/>
              <w:rPr>
                <w:sz w:val="20"/>
                <w:szCs w:val="20"/>
                <w:color w:val="auto"/>
              </w:rPr>
            </w:pPr>
            <w:r>
              <w:rPr>
                <w:rFonts w:ascii="Arial" w:cs="Arial" w:eastAsia="Arial" w:hAnsi="Arial"/>
                <w:sz w:val="16"/>
                <w:szCs w:val="16"/>
                <w:color w:val="auto"/>
              </w:rPr>
              <w:t>SGC</w:t>
            </w:r>
          </w:p>
        </w:tc>
        <w:tc>
          <w:tcPr>
            <w:tcW w:w="9420" w:type="dxa"/>
            <w:vAlign w:val="bottom"/>
          </w:tcPr>
          <w:p>
            <w:pPr>
              <w:ind w:left="660"/>
              <w:spacing w:after="0"/>
              <w:rPr>
                <w:sz w:val="20"/>
                <w:szCs w:val="20"/>
                <w:color w:val="auto"/>
              </w:rPr>
            </w:pPr>
            <w:r>
              <w:rPr>
                <w:rFonts w:ascii="Arial" w:cs="Arial" w:eastAsia="Arial" w:hAnsi="Arial"/>
                <w:sz w:val="16"/>
                <w:szCs w:val="16"/>
                <w:color w:val="auto"/>
              </w:rPr>
              <w:t>Scientific Games Corporation</w:t>
            </w:r>
          </w:p>
        </w:tc>
      </w:tr>
      <w:tr>
        <w:trPr>
          <w:trHeight w:val="219"/>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SGI</w:t>
            </w:r>
          </w:p>
        </w:tc>
        <w:tc>
          <w:tcPr>
            <w:tcW w:w="94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Scientific Games International, Inc., a wholly-owned subsidiary of SGC</w:t>
            </w:r>
          </w:p>
        </w:tc>
      </w:tr>
      <w:tr>
        <w:trPr>
          <w:trHeight w:val="213"/>
        </w:trPr>
        <w:tc>
          <w:tcPr>
            <w:tcW w:w="1820" w:type="dxa"/>
            <w:vAlign w:val="bottom"/>
          </w:tcPr>
          <w:p>
            <w:pPr>
              <w:ind w:left="20"/>
              <w:spacing w:after="0"/>
              <w:rPr>
                <w:sz w:val="20"/>
                <w:szCs w:val="20"/>
                <w:color w:val="auto"/>
              </w:rPr>
            </w:pPr>
            <w:r>
              <w:rPr>
                <w:rFonts w:ascii="Arial" w:cs="Arial" w:eastAsia="Arial" w:hAnsi="Arial"/>
                <w:sz w:val="16"/>
                <w:szCs w:val="16"/>
                <w:color w:val="auto"/>
              </w:rPr>
              <w:t>SG Gaming</w:t>
            </w:r>
          </w:p>
        </w:tc>
        <w:tc>
          <w:tcPr>
            <w:tcW w:w="9420" w:type="dxa"/>
            <w:vAlign w:val="bottom"/>
          </w:tcPr>
          <w:p>
            <w:pPr>
              <w:ind w:left="660"/>
              <w:spacing w:after="0"/>
              <w:rPr>
                <w:sz w:val="20"/>
                <w:szCs w:val="20"/>
                <w:color w:val="auto"/>
              </w:rPr>
            </w:pPr>
            <w:r>
              <w:rPr>
                <w:rFonts w:ascii="Arial" w:cs="Arial" w:eastAsia="Arial" w:hAnsi="Arial"/>
                <w:sz w:val="16"/>
                <w:szCs w:val="16"/>
                <w:color w:val="auto"/>
              </w:rPr>
              <w:t>SG Gaming, Inc. (formerly known as Bally Gaming, Inc.)</w:t>
            </w:r>
          </w:p>
        </w:tc>
      </w:tr>
      <w:tr>
        <w:trPr>
          <w:trHeight w:val="219"/>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Shufflers</w:t>
            </w:r>
          </w:p>
        </w:tc>
        <w:tc>
          <w:tcPr>
            <w:tcW w:w="94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various models of automatic card shufflers, deck checkers and roulette chip sorters</w:t>
            </w:r>
          </w:p>
        </w:tc>
      </w:tr>
      <w:tr>
        <w:trPr>
          <w:trHeight w:val="213"/>
        </w:trPr>
        <w:tc>
          <w:tcPr>
            <w:tcW w:w="1820" w:type="dxa"/>
            <w:vAlign w:val="bottom"/>
          </w:tcPr>
          <w:p>
            <w:pPr>
              <w:ind w:left="20"/>
              <w:spacing w:after="0"/>
              <w:rPr>
                <w:sz w:val="20"/>
                <w:szCs w:val="20"/>
                <w:color w:val="auto"/>
              </w:rPr>
            </w:pPr>
            <w:r>
              <w:rPr>
                <w:rFonts w:ascii="Arial" w:cs="Arial" w:eastAsia="Arial" w:hAnsi="Arial"/>
                <w:sz w:val="16"/>
                <w:szCs w:val="16"/>
                <w:color w:val="auto"/>
              </w:rPr>
              <w:t>SOFR</w:t>
            </w:r>
          </w:p>
        </w:tc>
        <w:tc>
          <w:tcPr>
            <w:tcW w:w="9420" w:type="dxa"/>
            <w:vAlign w:val="bottom"/>
          </w:tcPr>
          <w:p>
            <w:pPr>
              <w:ind w:left="660"/>
              <w:spacing w:after="0"/>
              <w:rPr>
                <w:sz w:val="20"/>
                <w:szCs w:val="20"/>
                <w:color w:val="auto"/>
              </w:rPr>
            </w:pPr>
            <w:r>
              <w:rPr>
                <w:rFonts w:ascii="Arial" w:cs="Arial" w:eastAsia="Arial" w:hAnsi="Arial"/>
                <w:sz w:val="16"/>
                <w:szCs w:val="16"/>
                <w:color w:val="auto"/>
              </w:rPr>
              <w:t>Secured Overnight Financing Rate</w:t>
            </w:r>
          </w:p>
        </w:tc>
      </w:tr>
      <w:tr>
        <w:trPr>
          <w:trHeight w:val="219"/>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Notes</w:t>
            </w:r>
          </w:p>
        </w:tc>
        <w:tc>
          <w:tcPr>
            <w:tcW w:w="9420" w:type="dxa"/>
            <w:vAlign w:val="bottom"/>
            <w:shd w:val="clear" w:color="auto" w:fill="CCEEFF"/>
          </w:tcPr>
          <w:p>
            <w:pPr>
              <w:ind w:left="660"/>
              <w:spacing w:after="0"/>
              <w:rPr>
                <w:sz w:val="20"/>
                <w:szCs w:val="20"/>
                <w:color w:val="auto"/>
              </w:rPr>
            </w:pPr>
            <w:r>
              <w:rPr>
                <w:rFonts w:ascii="Arial" w:cs="Arial" w:eastAsia="Arial" w:hAnsi="Arial"/>
                <w:sz w:val="16"/>
                <w:szCs w:val="16"/>
                <w:color w:val="auto"/>
                <w:w w:val="94"/>
              </w:rPr>
              <w:t>refers to the 2026 Unsecured Euro Notes, 2026 Unsecured Notes, 2028 Unsecured Notes and 2029 Unsecured Notes, collectively</w:t>
            </w:r>
          </w:p>
        </w:tc>
      </w:tr>
      <w:tr>
        <w:trPr>
          <w:trHeight w:val="213"/>
        </w:trPr>
        <w:tc>
          <w:tcPr>
            <w:tcW w:w="1820" w:type="dxa"/>
            <w:vAlign w:val="bottom"/>
          </w:tcPr>
          <w:p>
            <w:pPr>
              <w:ind w:left="20"/>
              <w:spacing w:after="0"/>
              <w:rPr>
                <w:sz w:val="20"/>
                <w:szCs w:val="20"/>
                <w:color w:val="auto"/>
              </w:rPr>
            </w:pPr>
            <w:r>
              <w:rPr>
                <w:rFonts w:ascii="Arial" w:cs="Arial" w:eastAsia="Arial" w:hAnsi="Arial"/>
                <w:sz w:val="16"/>
                <w:szCs w:val="16"/>
                <w:color w:val="auto"/>
              </w:rPr>
              <w:t>U.S. GAAP</w:t>
            </w:r>
          </w:p>
        </w:tc>
        <w:tc>
          <w:tcPr>
            <w:tcW w:w="9420" w:type="dxa"/>
            <w:vAlign w:val="bottom"/>
          </w:tcPr>
          <w:p>
            <w:pPr>
              <w:ind w:left="660"/>
              <w:spacing w:after="0"/>
              <w:rPr>
                <w:sz w:val="20"/>
                <w:szCs w:val="20"/>
                <w:color w:val="auto"/>
              </w:rPr>
            </w:pPr>
            <w:r>
              <w:rPr>
                <w:rFonts w:ascii="Arial" w:cs="Arial" w:eastAsia="Arial" w:hAnsi="Arial"/>
                <w:sz w:val="16"/>
                <w:szCs w:val="16"/>
                <w:color w:val="auto"/>
              </w:rPr>
              <w:t>accounting principles generally accepted in the U.S.</w:t>
            </w:r>
          </w:p>
        </w:tc>
      </w:tr>
      <w:tr>
        <w:trPr>
          <w:trHeight w:val="219"/>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jurisdictions</w:t>
            </w:r>
          </w:p>
        </w:tc>
        <w:tc>
          <w:tcPr>
            <w:tcW w:w="94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the 50 states in the U.S. plus the District of Columbia, U.S. Virgin Islands and Puerto Rico</w:t>
            </w:r>
          </w:p>
        </w:tc>
      </w:tr>
      <w:tr>
        <w:trPr>
          <w:trHeight w:val="213"/>
        </w:trPr>
        <w:tc>
          <w:tcPr>
            <w:tcW w:w="1820" w:type="dxa"/>
            <w:vAlign w:val="bottom"/>
          </w:tcPr>
          <w:p>
            <w:pPr>
              <w:ind w:left="20"/>
              <w:spacing w:after="0"/>
              <w:rPr>
                <w:sz w:val="20"/>
                <w:szCs w:val="20"/>
                <w:color w:val="auto"/>
              </w:rPr>
            </w:pPr>
            <w:r>
              <w:rPr>
                <w:rFonts w:ascii="Arial" w:cs="Arial" w:eastAsia="Arial" w:hAnsi="Arial"/>
                <w:sz w:val="16"/>
                <w:szCs w:val="16"/>
                <w:color w:val="auto"/>
              </w:rPr>
              <w:t>VGT</w:t>
            </w:r>
          </w:p>
        </w:tc>
        <w:tc>
          <w:tcPr>
            <w:tcW w:w="9420" w:type="dxa"/>
            <w:vAlign w:val="bottom"/>
          </w:tcPr>
          <w:p>
            <w:pPr>
              <w:ind w:left="660"/>
              <w:spacing w:after="0"/>
              <w:rPr>
                <w:sz w:val="20"/>
                <w:szCs w:val="20"/>
                <w:color w:val="auto"/>
              </w:rPr>
            </w:pPr>
            <w:r>
              <w:rPr>
                <w:rFonts w:ascii="Arial" w:cs="Arial" w:eastAsia="Arial" w:hAnsi="Arial"/>
                <w:sz w:val="16"/>
                <w:szCs w:val="16"/>
                <w:color w:val="auto"/>
              </w:rPr>
              <w:t>video gaming terminal</w:t>
            </w:r>
          </w:p>
        </w:tc>
      </w:tr>
      <w:tr>
        <w:trPr>
          <w:trHeight w:val="219"/>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VLT</w:t>
            </w:r>
          </w:p>
        </w:tc>
        <w:tc>
          <w:tcPr>
            <w:tcW w:w="94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video lottery terminal</w:t>
            </w:r>
          </w:p>
        </w:tc>
      </w:tr>
      <w:tr>
        <w:trPr>
          <w:trHeight w:val="213"/>
        </w:trPr>
        <w:tc>
          <w:tcPr>
            <w:tcW w:w="1820" w:type="dxa"/>
            <w:vAlign w:val="bottom"/>
          </w:tcPr>
          <w:p>
            <w:pPr>
              <w:ind w:left="20"/>
              <w:spacing w:after="0"/>
              <w:rPr>
                <w:sz w:val="20"/>
                <w:szCs w:val="20"/>
                <w:color w:val="auto"/>
              </w:rPr>
            </w:pPr>
            <w:r>
              <w:rPr>
                <w:rFonts w:ascii="Arial" w:cs="Arial" w:eastAsia="Arial" w:hAnsi="Arial"/>
                <w:sz w:val="16"/>
                <w:szCs w:val="16"/>
                <w:color w:val="auto"/>
              </w:rPr>
              <w:t>WAP</w:t>
            </w:r>
          </w:p>
        </w:tc>
        <w:tc>
          <w:tcPr>
            <w:tcW w:w="9420" w:type="dxa"/>
            <w:vAlign w:val="bottom"/>
          </w:tcPr>
          <w:p>
            <w:pPr>
              <w:ind w:left="660"/>
              <w:spacing w:after="0"/>
              <w:rPr>
                <w:sz w:val="20"/>
                <w:szCs w:val="20"/>
                <w:color w:val="auto"/>
              </w:rPr>
            </w:pPr>
            <w:r>
              <w:rPr>
                <w:rFonts w:ascii="Arial" w:cs="Arial" w:eastAsia="Arial" w:hAnsi="Arial"/>
                <w:sz w:val="16"/>
                <w:szCs w:val="16"/>
                <w:color w:val="auto"/>
              </w:rPr>
              <w:t>wide-area progressive</w:t>
            </w:r>
          </w:p>
        </w:tc>
      </w:tr>
      <w:tr>
        <w:trPr>
          <w:trHeight w:val="219"/>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WMS</w:t>
            </w:r>
          </w:p>
        </w:tc>
        <w:tc>
          <w:tcPr>
            <w:tcW w:w="94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WMS Industries, Inc.</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w:t>
      </w:r>
      <w:r>
        <w:rPr>
          <w:rFonts w:ascii="Arial" w:cs="Arial" w:eastAsia="Arial" w:hAnsi="Arial"/>
          <w:sz w:val="21"/>
          <w:szCs w:val="21"/>
          <w:color w:val="auto"/>
        </w:rPr>
        <w:t>®</w:t>
      </w:r>
      <w:r>
        <w:rPr>
          <w:rFonts w:ascii="Arial" w:cs="Arial" w:eastAsia="Arial" w:hAnsi="Arial"/>
          <w:sz w:val="18"/>
          <w:szCs w:val="18"/>
          <w:color w:val="auto"/>
        </w:rPr>
        <w:t xml:space="preserve"> notices signify marks registered in the United States. © 2022 Scientific Games Corporation. All Rights Reserved.</w:t>
      </w:r>
    </w:p>
    <w:p>
      <w:pPr>
        <w:spacing w:after="0" w:line="17"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2021 Hasbro. All Rights Reserved. Licensed by Hasbro.</w:t>
      </w:r>
    </w:p>
    <w:p>
      <w:pPr>
        <w:spacing w:after="0" w:line="232" w:lineRule="exact"/>
        <w:rPr>
          <w:sz w:val="20"/>
          <w:szCs w:val="20"/>
          <w:color w:val="auto"/>
        </w:rPr>
      </w:pPr>
    </w:p>
    <w:p>
      <w:pPr>
        <w:spacing w:after="0"/>
        <w:rPr>
          <w:sz w:val="20"/>
          <w:szCs w:val="20"/>
          <w:color w:val="auto"/>
        </w:rPr>
      </w:pPr>
      <w:r>
        <w:rPr>
          <w:sz w:val="1"/>
          <w:szCs w:val="1"/>
          <w:color w:val="auto"/>
        </w:rPr>
        <w:drawing>
          <wp:inline distT="0" distB="0" distL="0" distR="0">
            <wp:extent cx="299720"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720" cy="111125"/>
                    </a:xfrm>
                    <a:prstGeom prst="rect">
                      <a:avLst/>
                    </a:prstGeom>
                    <a:noFill/>
                    <a:ln>
                      <a:noFill/>
                    </a:ln>
                  </pic:spPr>
                </pic:pic>
              </a:graphicData>
            </a:graphic>
          </wp:inline>
        </w:drawing>
      </w:r>
      <w:r>
        <w:rPr>
          <w:rFonts w:ascii="Arial" w:cs="Arial" w:eastAsia="Arial" w:hAnsi="Arial"/>
          <w:sz w:val="16"/>
          <w:szCs w:val="16"/>
          <w:color w:val="auto"/>
        </w:rPr>
        <w:t xml:space="preserve"> and James Bond indicia © 1962-2021 Danjaq, LLC and MGM. </w:t>
      </w:r>
      <w:r>
        <w:rPr>
          <w:sz w:val="1"/>
          <w:szCs w:val="1"/>
          <w:color w:val="auto"/>
        </w:rPr>
        <w:drawing>
          <wp:inline distT="0" distB="0" distL="0" distR="0">
            <wp:extent cx="30035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0355" cy="111125"/>
                    </a:xfrm>
                    <a:prstGeom prst="rect">
                      <a:avLst/>
                    </a:prstGeom>
                    <a:noFill/>
                    <a:ln>
                      <a:noFill/>
                    </a:ln>
                  </pic:spPr>
                </pic:pic>
              </a:graphicData>
            </a:graphic>
          </wp:inline>
        </w:drawing>
      </w:r>
      <w:r>
        <w:rPr>
          <w:rFonts w:ascii="Arial" w:cs="Arial" w:eastAsia="Arial" w:hAnsi="Arial"/>
          <w:sz w:val="16"/>
          <w:szCs w:val="16"/>
          <w:color w:val="auto"/>
        </w:rPr>
        <w:t xml:space="preserve"> and all other James Bond related trademarks are trademarks of Danjaq,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All Rights Reserved.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FLINTSTONES™ and all related characters and elements © &amp; ™ Hanna-Barbera.</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©2021 Playboy Enterprises International, Inc. PLAYBOY, PLAYMATE, PLAYBOY BUNNY, and the Rabbit Head Design are trademarks of Playboy Enterprises International, Inc. and used under license by Scientific Games Corporation.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Throughout this Annual Report on Form 10-K,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Annual Report on Form 10-K are generally located in the material set forth under the headings “</w:t>
      </w:r>
      <w:r>
        <w:rPr>
          <w:rFonts w:ascii="Arial" w:cs="Arial" w:eastAsia="Arial" w:hAnsi="Arial"/>
          <w:sz w:val="18"/>
          <w:szCs w:val="18"/>
          <w:i w:val="1"/>
          <w:iCs w:val="1"/>
          <w:color w:val="auto"/>
        </w:rPr>
        <w:t>Business</w:t>
      </w:r>
      <w:r>
        <w:rPr>
          <w:rFonts w:ascii="Arial" w:cs="Arial" w:eastAsia="Arial" w:hAnsi="Arial"/>
          <w:sz w:val="18"/>
          <w:szCs w:val="18"/>
          <w:color w:val="auto"/>
        </w:rPr>
        <w:t>,”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but may be found in other locations as well. These statements are based upon management’s current expectations, assumptions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29" w:lineRule="exact"/>
        <w:rPr>
          <w:sz w:val="20"/>
          <w:szCs w:val="20"/>
          <w:color w:val="auto"/>
        </w:rPr>
      </w:pPr>
    </w:p>
    <w:p>
      <w:pPr>
        <w:ind w:left="500" w:right="22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any resulting unfavorable social, political, economic and financial conditions, including the temporary and potentially recurring closure of casinos and lottery operations on a jurisdiction-by-jurisdiction basis;</w:t>
      </w:r>
    </w:p>
    <w:p>
      <w:pPr>
        <w:spacing w:after="0" w:line="62" w:lineRule="exact"/>
        <w:rPr>
          <w:rFonts w:ascii="Arial" w:cs="Arial" w:eastAsia="Arial" w:hAnsi="Arial"/>
          <w:sz w:val="18"/>
          <w:szCs w:val="18"/>
          <w:color w:val="auto"/>
        </w:rPr>
      </w:pPr>
    </w:p>
    <w:p>
      <w:pPr>
        <w:jc w:val="both"/>
        <w:ind w:left="500" w:right="180" w:hanging="330"/>
        <w:spacing w:after="0" w:line="279" w:lineRule="auto"/>
        <w:tabs>
          <w:tab w:leader="none" w:pos="495"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relating to the Pending Divestitures, including lack of assurance regarding the timing of completion of the pending and proposed transactions and related risks associated with the ongoing operations and activities of the Lottery and Sports Betting businesses, that certain deferred tax assets may not be realized relative to the anticipated tax gain from these divestitures, that the transactions will yield additional value or will not adversely impact our business, financial results, results of operations, cash flows or stock price;</w:t>
      </w:r>
    </w:p>
    <w:p>
      <w:pPr>
        <w:spacing w:after="0" w:line="9" w:lineRule="exact"/>
        <w:rPr>
          <w:rFonts w:ascii="Arial" w:cs="Arial" w:eastAsia="Arial" w:hAnsi="Arial"/>
          <w:sz w:val="17"/>
          <w:szCs w:val="17"/>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successfully execute our new strategy and impending rebranding initiative;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inability to significantly de-lever and position the Company for enhanced growth with certain net proceeds from our Pending Divestitures;</w:t>
      </w:r>
    </w:p>
    <w:p>
      <w:pPr>
        <w:spacing w:after="0" w:line="74" w:lineRule="exact"/>
        <w:rPr>
          <w:rFonts w:ascii="Arial" w:cs="Arial" w:eastAsia="Arial" w:hAnsi="Arial"/>
          <w:sz w:val="17"/>
          <w:szCs w:val="17"/>
          <w:color w:val="auto"/>
        </w:rPr>
      </w:pPr>
    </w:p>
    <w:p>
      <w:pPr>
        <w:ind w:left="500" w:right="72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slow growth of new gaming jurisdictions, slow addition of casinos in existing jurisdictions and declines in the replacement cycle of gaming machines;</w:t>
      </w:r>
    </w:p>
    <w:p>
      <w:pPr>
        <w:spacing w:after="0" w:line="8" w:lineRule="exact"/>
        <w:rPr>
          <w:rFonts w:ascii="Arial" w:cs="Arial" w:eastAsia="Arial" w:hAnsi="Arial"/>
          <w:sz w:val="18"/>
          <w:szCs w:val="18"/>
          <w:color w:val="auto"/>
        </w:rPr>
      </w:pPr>
    </w:p>
    <w:p>
      <w:pPr>
        <w:ind w:left="500" w:right="120" w:hanging="330"/>
        <w:spacing w:after="0" w:line="263"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foreign operations, including anti-corruption laws, fluctuations in currency rates, restrictions on the payment of dividends from earnings, restrictions on the import of products and financial instability, including the potential impact to our business resulting from the continuing uncertainty following the U.K.’s withdrawal from the European Union;</w:t>
      </w:r>
    </w:p>
    <w:p>
      <w:pPr>
        <w:spacing w:after="0" w:line="21" w:lineRule="exact"/>
        <w:rPr>
          <w:rFonts w:ascii="Arial" w:cs="Arial" w:eastAsia="Arial" w:hAnsi="Arial"/>
          <w:sz w:val="18"/>
          <w:szCs w:val="18"/>
          <w:color w:val="auto"/>
        </w:rPr>
      </w:pPr>
    </w:p>
    <w:p>
      <w:pPr>
        <w:ind w:left="500" w:right="4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predicting what impact, if any, new tariffs imposed by and other trade actions taken by the U.S. and foreign jurisdictions could have on our business;</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international economic and industry conditions;</w:t>
      </w:r>
    </w:p>
    <w:p>
      <w:pPr>
        <w:spacing w:after="0" w:line="63"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of our indebtedness, higher interest rates, availability or adequacy of cash flows and liquidity to satisfy indebtedness, other obligations or future cash needs;</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transition from LIBOR to SOFR, which may adversely affect interest rates;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reduce or refinance our indebtedness;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and covenants in debt agreements, including those that could result in acceleration of the maturity of our indebtedness;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win, retain or renew, or unfavorable revisions of, existing contracts, and the inability to enter into new contracts;</w:t>
      </w:r>
    </w:p>
    <w:p>
      <w:pPr>
        <w:spacing w:after="0" w:line="63"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U.K. legislation approving the reduction of fixed-odds betting terminals maximum stakes limit on LBO operators, including the related closure of certain LBO shops;</w:t>
      </w:r>
    </w:p>
    <w:p>
      <w:pPr>
        <w:spacing w:after="0" w:line="8" w:lineRule="exact"/>
        <w:rPr>
          <w:rFonts w:ascii="Arial" w:cs="Arial" w:eastAsia="Arial" w:hAnsi="Arial"/>
          <w:sz w:val="18"/>
          <w:szCs w:val="18"/>
          <w:color w:val="auto"/>
        </w:rPr>
      </w:pPr>
    </w:p>
    <w:p>
      <w:pPr>
        <w:ind w:left="500" w:right="14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adapt to, and offer products that keep pace with, evolving technology, including any failure of our investment of significant resources in our R&amp;D efforts;</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demand for our products and services;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benefit from, and risks associated with, strategic equity investments and relationships;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achieve some or all of the anticipated benefits of SciPlay being a standalone public company;</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suppliers and manufacturers;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SciPlay’s dependence on certain key providers;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ownership changes and consolidation in the gaming industry;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results due to seasonality and other factors;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and integrity of our products and systems, including the impact of any security breaches or cyber-attacks;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protection of our intellectual property, inability to license third-party intellectual property and the intellectual property rights of others;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or failures in information technology and other systems;</w:t>
      </w:r>
    </w:p>
    <w:p>
      <w:pPr>
        <w:spacing w:after="0" w:line="63" w:lineRule="exact"/>
        <w:rPr>
          <w:rFonts w:ascii="Arial" w:cs="Arial" w:eastAsia="Arial" w:hAnsi="Arial"/>
          <w:sz w:val="18"/>
          <w:szCs w:val="18"/>
          <w:color w:val="auto"/>
        </w:rPr>
      </w:pPr>
    </w:p>
    <w:p>
      <w:pPr>
        <w:ind w:left="500" w:right="480" w:hanging="330"/>
        <w:spacing w:after="0" w:line="298" w:lineRule="auto"/>
        <w:tabs>
          <w:tab w:leader="none" w:pos="495" w:val="left"/>
        </w:tabs>
        <w:numPr>
          <w:ilvl w:val="0"/>
          <w:numId w:val="4"/>
        </w:numPr>
        <w:rPr>
          <w:rFonts w:ascii="Arial" w:cs="Arial" w:eastAsia="Arial" w:hAnsi="Arial"/>
          <w:sz w:val="17"/>
          <w:szCs w:val="17"/>
          <w:color w:val="auto"/>
        </w:rPr>
      </w:pPr>
      <w:r>
        <w:rPr>
          <w:rFonts w:ascii="Arial" w:cs="Arial" w:eastAsia="Arial" w:hAnsi="Arial"/>
          <w:sz w:val="17"/>
          <w:szCs w:val="17"/>
          <w:color w:val="auto"/>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technological blocking systems;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or disruptions relating to the completion of the domestic migration to our enterprise resource planning system;</w:t>
      </w:r>
    </w:p>
    <w:p>
      <w:pPr>
        <w:spacing w:after="0" w:line="63" w:lineRule="exact"/>
        <w:rPr>
          <w:rFonts w:ascii="Arial" w:cs="Arial" w:eastAsia="Arial" w:hAnsi="Arial"/>
          <w:sz w:val="18"/>
          <w:szCs w:val="18"/>
          <w:color w:val="auto"/>
        </w:rPr>
      </w:pPr>
    </w:p>
    <w:p>
      <w:pPr>
        <w:ind w:left="500" w:right="80" w:hanging="330"/>
        <w:spacing w:after="0" w:line="286" w:lineRule="auto"/>
        <w:tabs>
          <w:tab w:leader="none" w:pos="495" w:val="left"/>
        </w:tabs>
        <w:numPr>
          <w:ilvl w:val="0"/>
          <w:numId w:val="4"/>
        </w:numPr>
        <w:rPr>
          <w:rFonts w:ascii="Arial" w:cs="Arial" w:eastAsia="Arial" w:hAnsi="Arial"/>
          <w:sz w:val="17"/>
          <w:szCs w:val="17"/>
          <w:color w:val="auto"/>
        </w:rPr>
      </w:pPr>
      <w:r>
        <w:rPr>
          <w:rFonts w:ascii="Arial" w:cs="Arial" w:eastAsia="Arial" w:hAnsi="Arial"/>
          <w:sz w:val="17"/>
          <w:szCs w:val="17"/>
          <w:color w:val="auto"/>
        </w:rPr>
        <w:t>laws and government regulations,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spacing w:after="0" w:line="3" w:lineRule="exact"/>
        <w:rPr>
          <w:rFonts w:ascii="Arial" w:cs="Arial" w:eastAsia="Arial" w:hAnsi="Arial"/>
          <w:sz w:val="17"/>
          <w:szCs w:val="17"/>
          <w:color w:val="auto"/>
        </w:rPr>
      </w:pPr>
    </w:p>
    <w:p>
      <w:pPr>
        <w:ind w:left="500" w:right="32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legislative interpretation and enforcement, regulatory perception and regulatory risks with respect to gaming, especially internet wagering, social gaming and sports wagering;</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or tax rulings, or the examination of our tax positions;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opposition to legalized gaming or the expansion thereof and potential restrictions on internet wagering;</w:t>
      </w:r>
    </w:p>
    <w:p>
      <w:pPr>
        <w:spacing w:after="0" w:line="63" w:lineRule="exact"/>
        <w:rPr>
          <w:rFonts w:ascii="Arial" w:cs="Arial" w:eastAsia="Arial" w:hAnsi="Arial"/>
          <w:sz w:val="18"/>
          <w:szCs w:val="18"/>
          <w:color w:val="auto"/>
        </w:rPr>
      </w:pPr>
    </w:p>
    <w:p>
      <w:pPr>
        <w:ind w:left="500" w:right="20" w:hanging="330"/>
        <w:spacing w:after="0" w:line="259"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spacing w:after="0" w:line="24"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of shift to regulated digital gaming or sports wagering;</w:t>
      </w:r>
    </w:p>
    <w:p>
      <w:pPr>
        <w:spacing w:after="0" w:line="63" w:lineRule="exact"/>
        <w:rPr>
          <w:rFonts w:ascii="Arial" w:cs="Arial" w:eastAsia="Arial" w:hAnsi="Arial"/>
          <w:sz w:val="18"/>
          <w:szCs w:val="18"/>
          <w:color w:val="auto"/>
        </w:rPr>
      </w:pPr>
    </w:p>
    <w:p>
      <w:pPr>
        <w:ind w:left="500" w:right="18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develop successful products and services and capitalize on trends and changes in our industries, including the expansion of internet and other forms of digital gaming;</w:t>
      </w:r>
    </w:p>
    <w:p>
      <w:pPr>
        <w:spacing w:after="0" w:line="8" w:lineRule="exact"/>
        <w:rPr>
          <w:rFonts w:ascii="Arial" w:cs="Arial" w:eastAsia="Arial" w:hAnsi="Arial"/>
          <w:sz w:val="18"/>
          <w:szCs w:val="18"/>
          <w:color w:val="auto"/>
        </w:rPr>
      </w:pPr>
    </w:p>
    <w:p>
      <w:pPr>
        <w:ind w:left="500" w:right="12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continuing evolution of the scope of data privacy and security regulations, and our belief that the adoption of increasingly restrictive regulations in this area is likely within the U.S. and other jurisdictions;</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incurrence of restructuring costs;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goodwill impairment charges including changes in estimates or judgments related to our impairment analysis of goodwill or other intangible assets;</w:t>
      </w:r>
    </w:p>
    <w:p>
      <w:pPr>
        <w:spacing w:after="0" w:line="86" w:lineRule="exact"/>
        <w:rPr>
          <w:rFonts w:ascii="Arial" w:cs="Arial" w:eastAsia="Arial" w:hAnsi="Arial"/>
          <w:sz w:val="16"/>
          <w:szCs w:val="16"/>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adequate internal control over financial reporting;</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key executives;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that disrupt our operations, or those of our customers, suppliers or regulators;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of growth in total consumer spending on social casino gaming.</w:t>
      </w:r>
    </w:p>
    <w:p>
      <w:pPr>
        <w:spacing w:after="0" w:line="15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Additional information regarding risks and uncertainties and other factors that could cause actual results to differ materially from those contemplated in forward-looking statements is included from time to time in our filings with the SEC, including under </w:t>
      </w:r>
      <w:r>
        <w:rPr>
          <w:rFonts w:ascii="Arial" w:cs="Arial" w:eastAsia="Arial" w:hAnsi="Arial"/>
          <w:sz w:val="18"/>
          <w:szCs w:val="18"/>
          <w:i w:val="1"/>
          <w:iCs w:val="1"/>
          <w:color w:val="auto"/>
        </w:rPr>
        <w:t>Part I, Item 1A</w:t>
      </w:r>
      <w:r>
        <w:rPr>
          <w:rFonts w:ascii="Arial" w:cs="Arial" w:eastAsia="Arial" w:hAnsi="Arial"/>
          <w:sz w:val="18"/>
          <w:szCs w:val="18"/>
          <w:color w:val="auto"/>
        </w:rPr>
        <w:t xml:space="preserve"> “</w:t>
      </w:r>
      <w:r>
        <w:rPr>
          <w:rFonts w:ascii="Arial" w:cs="Arial" w:eastAsia="Arial" w:hAnsi="Arial"/>
          <w:sz w:val="18"/>
          <w:szCs w:val="18"/>
          <w:i w:val="1"/>
          <w:iCs w:val="1"/>
          <w:color w:val="auto"/>
        </w:rPr>
        <w:t>Risk Factors</w:t>
      </w:r>
      <w:r>
        <w:rPr>
          <w:rFonts w:ascii="Arial" w:cs="Arial" w:eastAsia="Arial" w:hAnsi="Arial"/>
          <w:sz w:val="18"/>
          <w:szCs w:val="18"/>
          <w:color w:val="auto"/>
        </w:rPr>
        <w:t>” in this Annual Report on Form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spacing w:after="0" w:line="10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You should also note that this Annual Report on Form 10-K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lottery, social and digital gaming industries than the same industries in the U.S.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Due to rounding, certain numbers presented herein may not precisely agree or total to the previously reported amounts.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62"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Unless otherwise specified or the context otherwise indicates, all references to the words “Scientific Games,” “we,” “us,” “our” and the “Company” refer to SGC and its consolidated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SGC was incorporated in the state of Delaware on July 2, 1984. On September 18, 2017, SGC entered into an Agreement and Plan of Merger with SG Nevada Merger Company, a Nevada corporation and SGC’s wholly owned subsidiary (“Newco”), providing for the merger of SGC with and into Newco with Newco surviving the merger (the “Surviving Corporation”), for the sole purpose of changing SGC’s state of incorporation from Delaware to Nevada (the “reincorporation merger”). The reincorporation merger was approved by the affirmative vote of holders of a majority of outstanding shares of Class A common stock of SGC entitled to vote thereon at a special meeting of SGC’s stockholders on November 27, 2017. On January 10, 2018, the reincorporation merger was consummated. Following the consummation of the reincorporation merger, each outstanding share of Class A common stock of SGC, par value $0.01 per share, automatically converted into one share of common stock of the Surviving Corporation, par value $.001 per share. The reincorporation merger did not result in any change in SGC’s name, headquarters, business, management, location of offices, assets, liabilities or net worth, other than as a result of the costs incident to the reincorporation merger. Our management, including all directors and officers, immediately prior to the reincorporation merger remained the same immediately following the reincorporation merger and assumed identical positions with the Surviving Corporation.</w:t>
      </w:r>
    </w:p>
    <w:p>
      <w:pPr>
        <w:spacing w:after="0" w:line="124"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We are a leading developer of technology</w:t>
      </w:r>
      <w:r>
        <w:rPr>
          <w:rFonts w:ascii="MS PGothic" w:cs="MS PGothic" w:eastAsia="MS PGothic" w:hAnsi="MS PGothic"/>
          <w:sz w:val="17"/>
          <w:szCs w:val="17"/>
          <w:color w:val="auto"/>
        </w:rPr>
        <w:t>‑</w:t>
      </w:r>
      <w:r>
        <w:rPr>
          <w:rFonts w:ascii="Arial" w:cs="Arial" w:eastAsia="Arial" w:hAnsi="Arial"/>
          <w:sz w:val="17"/>
          <w:szCs w:val="17"/>
          <w:color w:val="auto"/>
        </w:rPr>
        <w:t>based products and services and associated content for the worldwide gaming, lottery, social and digital gaming industries. Our portfolio of revenue-generating activities in our continuing operations primarily includes supplying game content and gaming machines, CMSs and table game products and services to licensed gaming entities; providing social casino and other mobile games to retail customers; and providing a comprehensive suite of digital RMG, distribution platforms, content, products and services to various gaming entities. Our portfolio of revenue-generating activities in the discontinued operations primarily includes providing instant and draw</w:t>
      </w:r>
      <w:r>
        <w:rPr>
          <w:rFonts w:ascii="MS PGothic" w:cs="MS PGothic" w:eastAsia="MS PGothic" w:hAnsi="MS PGothic"/>
          <w:sz w:val="17"/>
          <w:szCs w:val="17"/>
          <w:color w:val="auto"/>
        </w:rPr>
        <w:t>‑</w:t>
      </w:r>
      <w:r>
        <w:rPr>
          <w:rFonts w:ascii="Arial" w:cs="Arial" w:eastAsia="Arial" w:hAnsi="Arial"/>
          <w:sz w:val="17"/>
          <w:szCs w:val="17"/>
          <w:color w:val="auto"/>
        </w:rPr>
        <w:t>based lottery products, lottery systems and lottery content and services to lottery operators along with providing sports wagering solutions to various gaming entities. We also gain access to technologies and pursue global expansion through strategic acquisitions and equity investments.</w:t>
      </w:r>
    </w:p>
    <w:p>
      <w:pPr>
        <w:spacing w:after="0" w:line="1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As described in the Strategy section below, following the reconstitution of our Board of Directors, we determined a new business direction, based on a strategy focused on delivering great content and franchises across platforms and channels. This strategy, which focuses on cross-platform content and franchise games, led to the decision to divest our Lottery and Sports Betting businesses.</w:t>
      </w:r>
    </w:p>
    <w:p>
      <w:pPr>
        <w:spacing w:after="0" w:line="1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September 27, 2021, we entered into a definitive agreement to sell our Sports Betting business to Endeavor Group Holdings, Inc. (“Endeavor”) in a cash and stock transaction. Under the terms of the agreement, we will receive $1 billion in cash, and approximately 7.6 million shares of Endeavor Class A common stock (valued at approximately $200 million as of the purchase agreement date), subject to customary purchase price closing adjustments. On October 27, 2021, we entered into a definitive agreement to sell our Lottery business to Brookfield Business Partners L.P. together with its institutional partners (collectively “Brookfield”) for total consideration of $6.05 billion consisting of $5.825 billion in cash and an earn-out of up to $225 million based on the achievement of certain EBITDA targets in 2022 and 2023, subject to customary purchase price closing adjustments. The divestiture of the Lottery business is now expected to close by the end of March 2022 while the sale of the Sports Betting business is on track to be completed in the second quarter of 2022, both subject to applicable regulatory approvals and customary conditions. Beginning in the third quarter of 2021, we have reflected the financial results of these businesses as discontinued operations in our consolidated statements of operations and reflected the assets and liabilities of these businesses as held for sale in our consolidated balance sheets, for all periods presented (see Note 2). These businesses held for sale are included in our covenant compliance requirements until disposed of and all of their related cash flows are available to the Company without restriction.</w:t>
      </w:r>
    </w:p>
    <w:p>
      <w:pPr>
        <w:spacing w:after="0" w:line="104"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Accordingly, we report our results of continuing operations in three business segments—Gaming, SciPlay and iGaming (former Digital business segment excluding Sports Betting)—representing the different products and services we expect to continue to provide upon completion of the Pending Divestitures. Unless otherwise noted, amounts and disclosures included herein relate to our continuing operations.</w:t>
      </w:r>
    </w:p>
    <w:p>
      <w:pPr>
        <w:spacing w:after="0" w:line="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On March 1, 2022, we announced our intention to formally change our name to Light &amp; Wonder, Inc. and that we would immediately begin doing business as Light &amp; Wonder, Inc. The legal name Scientific Games Corporation is expected to be legally changed to Light &amp; Wonder, Inc. during the second quarter of 2022, upon satisfying all applicable legal requirements in the state of Nevada, where the Company is incorporated.</w:t>
      </w:r>
    </w:p>
    <w:p>
      <w:pPr>
        <w:spacing w:after="0" w:line="9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connection therewith, the ticker symbol for the Company’s common stock will be changed from SGMS to LNW, at the time of the legal name change. The Company’s common stock will continue to be listed on The NASDAQ Stock Market.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Strategy</w:t>
      </w:r>
    </w:p>
    <w:p>
      <w:pPr>
        <w:spacing w:after="0" w:line="162"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During the second half of 2020, we reconstituted our Board of Directors. The reconstituted Board of Directors and the Company conducted a comprehensive review and evaluation of the Company’s strategic and business plans. On June 29, 2021, we announced that the Company (1) with the support of its Board of Directors, completed its strategic review, which reaffirmed our strategy to become a leading cross-platform global game company with a focus on content and digital markets; and (2) intended to divest the Lottery and Sports Betting businesses creating the path to significantly de-lever and position the Company for enhanced growth. In September and October of 2021, we signed definitive agreements to divest these businesses.</w:t>
      </w:r>
    </w:p>
    <w:p>
      <w:pPr>
        <w:spacing w:after="0" w:line="8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With our new streamlined organization and our vision to be the leading cross-platform global game company, we are focused on the following strategies:</w:t>
      </w:r>
    </w:p>
    <w:p>
      <w:pPr>
        <w:spacing w:after="0" w:line="116" w:lineRule="exact"/>
        <w:rPr>
          <w:sz w:val="20"/>
          <w:szCs w:val="20"/>
          <w:color w:val="auto"/>
        </w:rPr>
      </w:pPr>
    </w:p>
    <w:p>
      <w:pPr>
        <w:ind w:left="660" w:right="140" w:hanging="328"/>
        <w:spacing w:after="0" w:line="21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 xml:space="preserve">Creating great content and franchises fully cross-platform </w:t>
      </w:r>
      <w:r>
        <w:rPr>
          <w:rFonts w:ascii="Arial" w:cs="Arial" w:eastAsia="Arial" w:hAnsi="Arial"/>
          <w:sz w:val="18"/>
          <w:szCs w:val="18"/>
          <w:color w:val="auto"/>
        </w:rPr>
        <w:t>— We are singularly focused on creating great games and franchises that can be made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players on any platform they want to play.</w:t>
      </w:r>
    </w:p>
    <w:p>
      <w:pPr>
        <w:spacing w:after="0" w:line="81" w:lineRule="exact"/>
        <w:rPr>
          <w:rFonts w:ascii="Arial" w:cs="Arial" w:eastAsia="Arial" w:hAnsi="Arial"/>
          <w:sz w:val="22"/>
          <w:szCs w:val="22"/>
          <w:color w:val="auto"/>
        </w:rPr>
      </w:pPr>
    </w:p>
    <w:p>
      <w:pPr>
        <w:ind w:left="660" w:right="100" w:hanging="328"/>
        <w:spacing w:after="0" w:line="21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 xml:space="preserve">Expanding in high-growth digital markets </w:t>
      </w:r>
      <w:r>
        <w:rPr>
          <w:rFonts w:ascii="Arial" w:cs="Arial" w:eastAsia="Arial" w:hAnsi="Arial"/>
          <w:sz w:val="18"/>
          <w:szCs w:val="18"/>
          <w:color w:val="auto"/>
        </w:rPr>
        <w:t>— We are investing and rapidly expanding in high-growth digital and content markets across all forms</w:t>
      </w:r>
      <w:r>
        <w:rPr>
          <w:rFonts w:ascii="Arial" w:cs="Arial" w:eastAsia="Arial" w:hAnsi="Arial"/>
          <w:sz w:val="18"/>
          <w:szCs w:val="18"/>
          <w:i w:val="1"/>
          <w:iCs w:val="1"/>
          <w:color w:val="auto"/>
        </w:rPr>
        <w:t xml:space="preserve"> </w:t>
      </w:r>
      <w:r>
        <w:rPr>
          <w:rFonts w:ascii="Arial" w:cs="Arial" w:eastAsia="Arial" w:hAnsi="Arial"/>
          <w:sz w:val="18"/>
          <w:szCs w:val="18"/>
          <w:color w:val="auto"/>
        </w:rPr>
        <w:t>of content and games.</w:t>
      </w:r>
    </w:p>
    <w:p>
      <w:pPr>
        <w:spacing w:after="0" w:line="81" w:lineRule="exact"/>
        <w:rPr>
          <w:rFonts w:ascii="Arial" w:cs="Arial" w:eastAsia="Arial" w:hAnsi="Arial"/>
          <w:sz w:val="22"/>
          <w:szCs w:val="22"/>
          <w:color w:val="auto"/>
        </w:rPr>
      </w:pPr>
    </w:p>
    <w:p>
      <w:pPr>
        <w:ind w:left="660" w:right="360" w:hanging="328"/>
        <w:spacing w:after="0" w:line="21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 xml:space="preserve">Enabling a seamless player experience </w:t>
      </w:r>
      <w:r>
        <w:rPr>
          <w:rFonts w:ascii="Arial" w:cs="Arial" w:eastAsia="Arial" w:hAnsi="Arial"/>
          <w:sz w:val="18"/>
          <w:szCs w:val="18"/>
          <w:color w:val="auto"/>
        </w:rPr>
        <w:t>— By building evergreen franchises fully cross-platform and enabling systems and technology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players and customers.</w:t>
      </w:r>
    </w:p>
    <w:p>
      <w:pPr>
        <w:spacing w:after="0" w:line="81" w:lineRule="exact"/>
        <w:rPr>
          <w:rFonts w:ascii="Arial" w:cs="Arial" w:eastAsia="Arial" w:hAnsi="Arial"/>
          <w:sz w:val="22"/>
          <w:szCs w:val="22"/>
          <w:color w:val="auto"/>
        </w:rPr>
      </w:pPr>
    </w:p>
    <w:p>
      <w:pPr>
        <w:ind w:left="660" w:right="40" w:hanging="328"/>
        <w:spacing w:after="0" w:line="214"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 xml:space="preserve">De-leveraging and maximizing cash flow from operations </w:t>
      </w:r>
      <w:r>
        <w:rPr>
          <w:rFonts w:ascii="Arial" w:cs="Arial" w:eastAsia="Arial" w:hAnsi="Arial"/>
          <w:sz w:val="18"/>
          <w:szCs w:val="18"/>
          <w:color w:val="auto"/>
        </w:rPr>
        <w:t>— Upon the completion of the Pending Divestitures, we expect to significantly de-lever</w:t>
      </w:r>
      <w:r>
        <w:rPr>
          <w:rFonts w:ascii="Arial" w:cs="Arial" w:eastAsia="Arial" w:hAnsi="Arial"/>
          <w:sz w:val="18"/>
          <w:szCs w:val="18"/>
          <w:i w:val="1"/>
          <w:iCs w:val="1"/>
          <w:color w:val="auto"/>
        </w:rPr>
        <w:t xml:space="preserve"> </w:t>
      </w:r>
      <w:r>
        <w:rPr>
          <w:rFonts w:ascii="Arial" w:cs="Arial" w:eastAsia="Arial" w:hAnsi="Arial"/>
          <w:sz w:val="18"/>
          <w:szCs w:val="18"/>
          <w:color w:val="auto"/>
        </w:rPr>
        <w:t>our balance sheet, enabling us to invest organically and inorganically to accelerate our strategies and return capital to shareholders, unlocking shareholder value.</w:t>
      </w:r>
    </w:p>
    <w:p>
      <w:pPr>
        <w:spacing w:after="0" w:line="80" w:lineRule="exact"/>
        <w:rPr>
          <w:rFonts w:ascii="Arial" w:cs="Arial" w:eastAsia="Arial" w:hAnsi="Arial"/>
          <w:sz w:val="22"/>
          <w:szCs w:val="22"/>
          <w:color w:val="auto"/>
        </w:rPr>
      </w:pPr>
    </w:p>
    <w:p>
      <w:pPr>
        <w:ind w:left="660" w:right="280" w:hanging="328"/>
        <w:spacing w:after="0" w:line="214"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 xml:space="preserve">High performing talent and culture </w:t>
      </w:r>
      <w:r>
        <w:rPr>
          <w:rFonts w:ascii="Arial" w:cs="Arial" w:eastAsia="Arial" w:hAnsi="Arial"/>
          <w:sz w:val="18"/>
          <w:szCs w:val="18"/>
          <w:color w:val="auto"/>
        </w:rPr>
        <w:t>— We are creating a culture of high performance organization by building a strong and diverse global team</w:t>
      </w:r>
      <w:r>
        <w:rPr>
          <w:rFonts w:ascii="Arial" w:cs="Arial" w:eastAsia="Arial" w:hAnsi="Arial"/>
          <w:sz w:val="18"/>
          <w:szCs w:val="18"/>
          <w:i w:val="1"/>
          <w:iCs w:val="1"/>
          <w:color w:val="auto"/>
        </w:rPr>
        <w:t xml:space="preserve"> </w:t>
      </w:r>
      <w:r>
        <w:rPr>
          <w:rFonts w:ascii="Arial" w:cs="Arial" w:eastAsia="Arial" w:hAnsi="Arial"/>
          <w:sz w:val="18"/>
          <w:szCs w:val="18"/>
          <w:color w:val="auto"/>
        </w:rPr>
        <w:t>that cultivates open minds and focuses on driving innovation and enabling an efficient and flexible operation that is structured to support our business strategies.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Continuing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Segment</w:t>
      </w:r>
    </w:p>
    <w:p>
      <w:pPr>
        <w:spacing w:after="0" w:line="158"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gaming industry is characterized by the continuous development of new technologies, products and game content. Gaming products and services are used by a diverse group of gaming operators and U.S. and international lotteries which may offer VLTs and other forms of gaming, such as bingo and sports wagering.</w:t>
      </w:r>
    </w:p>
    <w:p>
      <w:pPr>
        <w:spacing w:after="0" w:line="11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products are installed in all of the major regulated U.S. gaming jurisdictions and in approximately 182 international gaming jurisdictions. Growth of gaming in land-based venues is driven by the opening of new casinos in both new and existing jurisdictions and the expansion of existing casinos. In addition, the land-based gaming business is significantly impacted by the rate at which casinos and other gaming operators replace their gaming machines, which depends on a number of factors, including their capital budgets. Virtually all sectors of the gaming industry are impacted by changes in economic conditions that impact players’ disposable incomes.</w:t>
      </w:r>
    </w:p>
    <w:p>
      <w:pPr>
        <w:spacing w:after="0" w:line="10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A substantial portion of our U.K. gaming business benefits from a contract with the large U.K. bookmaker Ladbrokes Coral Group (which was acquired by Entain (formerly GVC Holdings PLC) in March 2018), which represents a significant portion of our U.K. LBO server-based gaming business.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gaming machine sector is highly competitive and is characterized by the continuous introduction of new games, gaming machines and related technologies. We compete primarily with Ainsworth Game Technology, Aristocrat Leisure Ltd., (“Aristocrat”), Aruze Gaming America, Inc., Everi Games, Inc., International Game Technology (“IGT”) (a subsidiary of International Game Technology PLC), Inspired Entertainment Inc., Konami Digital Entertainment, Inc. (“Konami”), the Novomatic Group of Companies, Interblock, and PlayAGS, Inc. (“AGS”). Our principal direct competitor in our U.K. LBO business is Inspired Entertainment Inc.</w:t>
      </w:r>
    </w:p>
    <w:p>
      <w:pPr>
        <w:spacing w:after="0" w:line="10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The CMS business is also highly competitive. Product features and functionality, accuracy, reliability, service level and pricing are among the factors that determine how successful systems providers are in selling their systems. Our principal competitors in CMSs include Aristocrat, IGT and Konami. Competition for these products is intense due to the number of providers and the limited number of casinos and jurisdictions in which they operate.</w:t>
      </w:r>
    </w:p>
    <w:p>
      <w:pPr>
        <w:spacing w:after="0" w:line="11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With respect to our table products, we compete on the basis of the breadth of our Shuffler products and services and PTGs, product reliability, service, the strength of our intellectual property and our extensive sales, regulatory and distribution channels.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ind w:right="120" w:firstLine="648"/>
        <w:spacing w:after="0" w:line="263" w:lineRule="auto"/>
        <w:rPr>
          <w:sz w:val="20"/>
          <w:szCs w:val="20"/>
          <w:color w:val="auto"/>
        </w:rPr>
      </w:pPr>
      <w:r>
        <w:rPr>
          <w:rFonts w:ascii="Arial" w:cs="Arial" w:eastAsia="Arial" w:hAnsi="Arial"/>
          <w:sz w:val="18"/>
          <w:szCs w:val="18"/>
          <w:color w:val="auto"/>
        </w:rPr>
        <w:t>Our automated Shufflers also compete against hand shuffling, which remains the most competitive shuffling option for casino card games around the world. Finally, since the need for our Shuffler products depends upon a casino’s use of live table games, our Shufflers also compete against any products that live table games compete against.</w:t>
      </w:r>
    </w:p>
    <w:p>
      <w:pPr>
        <w:spacing w:after="0" w:line="116"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Competition for PTG content is based on player appeal, brand recognition, price and the strength of the underlying intellectual property. We compete on this basis and on the strength of our extensive sales, service, marketing and distribution channels. We also compete with non-PTGs such as blackjack and baccarat and several companies that primarily develop and license PTGs such as AGS, Galaxy Gaming, Inc. and Masque Publishing, Inc. Finally, some of our product lines may compete against one another for space on the casino floor.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SciPlay Segment</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 xml:space="preserve">Our SciPlay business segment is a leading developer and publisher of digital games on mobile and web platforms. SciPlay operates in the social gaming market, which is characterized by gameplay online, on mobile phones or on tablets that are social and competitive, and self-directed in pace and session length. Our SciPlay business segment includes social gaming where we generate substantially all of our revenue from the sale of virtual coins, chips or bingo cards (collectively referred to as “coins, chips and cards”), which players can use to play slot games, table games or bingo games. Once obtained, coins, chips and cards (either free or purchased) cannot be redeemed for cash nor exchanged for anything other than game play within our apps. SciPlay currently offers a variety of social casino games, including </w:t>
      </w:r>
      <w:r>
        <w:rPr>
          <w:rFonts w:ascii="Arial" w:cs="Arial" w:eastAsia="Arial" w:hAnsi="Arial"/>
          <w:sz w:val="16"/>
          <w:szCs w:val="16"/>
          <w:i w:val="1"/>
          <w:iCs w:val="1"/>
          <w:color w:val="auto"/>
        </w:rPr>
        <w:t>Jackpot Party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Casino</w:t>
      </w:r>
      <w:r>
        <w:rPr>
          <w:rFonts w:ascii="Arial" w:cs="Arial" w:eastAsia="Arial" w:hAnsi="Arial"/>
          <w:sz w:val="16"/>
          <w:szCs w:val="16"/>
          <w:color w:val="auto"/>
        </w:rPr>
        <w:t xml:space="preserve">, </w:t>
      </w:r>
      <w:r>
        <w:rPr>
          <w:rFonts w:ascii="Arial" w:cs="Arial" w:eastAsia="Arial" w:hAnsi="Arial"/>
          <w:sz w:val="16"/>
          <w:szCs w:val="16"/>
          <w:i w:val="1"/>
          <w:iCs w:val="1"/>
          <w:color w:val="auto"/>
        </w:rPr>
        <w:t>Gold Fish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Casino</w:t>
      </w:r>
      <w:r>
        <w:rPr>
          <w:rFonts w:ascii="Arial" w:cs="Arial" w:eastAsia="Arial" w:hAnsi="Arial"/>
          <w:sz w:val="16"/>
          <w:szCs w:val="16"/>
          <w:color w:val="auto"/>
        </w:rPr>
        <w:t xml:space="preserve">, </w:t>
      </w:r>
      <w:r>
        <w:rPr>
          <w:rFonts w:ascii="Arial" w:cs="Arial" w:eastAsia="Arial" w:hAnsi="Arial"/>
          <w:sz w:val="16"/>
          <w:szCs w:val="16"/>
          <w:i w:val="1"/>
          <w:iCs w:val="1"/>
          <w:color w:val="auto"/>
        </w:rPr>
        <w:t>Hot Shot Casino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Quick Hit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Slots</w:t>
      </w:r>
      <w:r>
        <w:rPr>
          <w:rFonts w:ascii="Arial" w:cs="Arial" w:eastAsia="Arial" w:hAnsi="Arial"/>
          <w:sz w:val="16"/>
          <w:szCs w:val="16"/>
          <w:color w:val="auto"/>
        </w:rPr>
        <w:t xml:space="preserve">, </w:t>
      </w:r>
      <w:r>
        <w:rPr>
          <w:rFonts w:ascii="Arial" w:cs="Arial" w:eastAsia="Arial" w:hAnsi="Arial"/>
          <w:sz w:val="16"/>
          <w:szCs w:val="16"/>
          <w:i w:val="1"/>
          <w:iCs w:val="1"/>
          <w:color w:val="auto"/>
        </w:rPr>
        <w:t>MONOPOLY</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Slots </w:t>
      </w:r>
      <w:r>
        <w:rPr>
          <w:rFonts w:ascii="Arial" w:cs="Arial" w:eastAsia="Arial" w:hAnsi="Arial"/>
          <w:sz w:val="16"/>
          <w:szCs w:val="16"/>
          <w:color w:val="auto"/>
        </w:rPr>
        <w:t>and</w:t>
      </w:r>
      <w:r>
        <w:rPr>
          <w:rFonts w:ascii="Arial" w:cs="Arial" w:eastAsia="Arial" w:hAnsi="Arial"/>
          <w:sz w:val="16"/>
          <w:szCs w:val="16"/>
          <w:i w:val="1"/>
          <w:iCs w:val="1"/>
          <w:color w:val="auto"/>
        </w:rPr>
        <w:t xml:space="preserve"> 88 Fortunes</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Slots</w:t>
      </w:r>
      <w:r>
        <w:rPr>
          <w:rFonts w:ascii="Arial" w:cs="Arial" w:eastAsia="Arial" w:hAnsi="Arial"/>
          <w:sz w:val="16"/>
          <w:szCs w:val="16"/>
          <w:color w:val="auto"/>
        </w:rPr>
        <w:t>. Our SciPlay business segment continues to pursue its strategy of expanding into the casual games market.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Current casual game titles include </w:t>
      </w:r>
      <w:r>
        <w:rPr>
          <w:rFonts w:ascii="Arial" w:cs="Arial" w:eastAsia="Arial" w:hAnsi="Arial"/>
          <w:sz w:val="16"/>
          <w:szCs w:val="16"/>
          <w:i w:val="1"/>
          <w:iCs w:val="1"/>
          <w:color w:val="auto"/>
        </w:rPr>
        <w:t>Bingo Showdown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Solitaire Pets</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w:t>
      </w:r>
      <w:r>
        <w:rPr>
          <w:rFonts w:ascii="Arial" w:cs="Arial" w:eastAsia="Arial" w:hAnsi="Arial"/>
          <w:sz w:val="16"/>
          <w:szCs w:val="16"/>
          <w:i w:val="1"/>
          <w:iCs w:val="1"/>
          <w:color w:val="auto"/>
        </w:rPr>
        <w:t>Adventure</w:t>
      </w:r>
      <w:r>
        <w:rPr>
          <w:rFonts w:ascii="Arial" w:cs="Arial" w:eastAsia="Arial" w:hAnsi="Arial"/>
          <w:sz w:val="16"/>
          <w:szCs w:val="16"/>
          <w:color w:val="auto"/>
        </w:rPr>
        <w:t xml:space="preserve">. SciPlay currently plans to launch an additional casual game in 2022. SciPlay’s social casino games typically include slots-style game play and occasionally include table games-style game play, while its casual games blend solitaire-style or bingo game play with adventure game features. All of SciPlay’s games are offered and played across multiple platforms, including </w:t>
      </w:r>
      <w:r>
        <w:rPr>
          <w:rFonts w:ascii="Arial" w:cs="Arial" w:eastAsia="Arial" w:hAnsi="Arial"/>
          <w:sz w:val="16"/>
          <w:szCs w:val="16"/>
          <w:i w:val="1"/>
          <w:iCs w:val="1"/>
          <w:color w:val="auto"/>
        </w:rPr>
        <w:t>Apple</w:t>
      </w:r>
      <w:r>
        <w:rPr>
          <w:rFonts w:ascii="Arial" w:cs="Arial" w:eastAsia="Arial" w:hAnsi="Arial"/>
          <w:sz w:val="16"/>
          <w:szCs w:val="16"/>
          <w:color w:val="auto"/>
        </w:rPr>
        <w:t xml:space="preserve">, </w:t>
      </w:r>
      <w:r>
        <w:rPr>
          <w:rFonts w:ascii="Arial" w:cs="Arial" w:eastAsia="Arial" w:hAnsi="Arial"/>
          <w:sz w:val="16"/>
          <w:szCs w:val="16"/>
          <w:i w:val="1"/>
          <w:iCs w:val="1"/>
          <w:color w:val="auto"/>
        </w:rPr>
        <w:t>Google</w:t>
      </w:r>
      <w:r>
        <w:rPr>
          <w:rFonts w:ascii="Arial" w:cs="Arial" w:eastAsia="Arial" w:hAnsi="Arial"/>
          <w:sz w:val="16"/>
          <w:szCs w:val="16"/>
          <w:color w:val="auto"/>
        </w:rPr>
        <w:t>,</w:t>
      </w:r>
      <w:r>
        <w:rPr>
          <w:rFonts w:ascii="Arial" w:cs="Arial" w:eastAsia="Arial" w:hAnsi="Arial"/>
          <w:sz w:val="16"/>
          <w:szCs w:val="16"/>
          <w:i w:val="1"/>
          <w:iCs w:val="1"/>
          <w:color w:val="auto"/>
        </w:rPr>
        <w:t xml:space="preserve"> Facebook</w:t>
      </w:r>
      <w:r>
        <w:rPr>
          <w:rFonts w:ascii="Arial" w:cs="Arial" w:eastAsia="Arial" w:hAnsi="Arial"/>
          <w:sz w:val="16"/>
          <w:szCs w:val="16"/>
          <w:color w:val="auto"/>
        </w:rPr>
        <w:t>,</w:t>
      </w:r>
      <w:r>
        <w:rPr>
          <w:rFonts w:ascii="Arial" w:cs="Arial" w:eastAsia="Arial" w:hAnsi="Arial"/>
          <w:sz w:val="16"/>
          <w:szCs w:val="16"/>
          <w:i w:val="1"/>
          <w:iCs w:val="1"/>
          <w:color w:val="auto"/>
        </w:rPr>
        <w:t xml:space="preserve"> Amazon</w:t>
      </w:r>
      <w:r>
        <w:rPr>
          <w:rFonts w:ascii="Arial" w:cs="Arial" w:eastAsia="Arial" w:hAnsi="Arial"/>
          <w:sz w:val="16"/>
          <w:szCs w:val="16"/>
          <w:color w:val="auto"/>
        </w:rPr>
        <w:t>, and</w:t>
      </w:r>
      <w:r>
        <w:rPr>
          <w:rFonts w:ascii="Arial" w:cs="Arial" w:eastAsia="Arial" w:hAnsi="Arial"/>
          <w:sz w:val="16"/>
          <w:szCs w:val="16"/>
          <w:i w:val="1"/>
          <w:iCs w:val="1"/>
          <w:color w:val="auto"/>
        </w:rPr>
        <w:t xml:space="preserve"> Microsoft</w:t>
      </w:r>
      <w:r>
        <w:rPr>
          <w:rFonts w:ascii="Arial" w:cs="Arial" w:eastAsia="Arial" w:hAnsi="Arial"/>
          <w:sz w:val="16"/>
          <w:szCs w:val="16"/>
          <w:color w:val="auto"/>
        </w:rPr>
        <w:t>. In addition to SciPlay’s internally created game content, SciPlay’s content library includes recognizable game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content from Scientific Games. This content allows players who like playing land-based game content to enjoy some of those same titles in our free-to-play games. SciPlay has access to Scientific Games’ library of more than 1,500 iconic casino titles, including titles and content from third-party licensed brands such as </w:t>
      </w:r>
      <w:r>
        <w:rPr>
          <w:rFonts w:ascii="Arial" w:cs="Arial" w:eastAsia="Arial" w:hAnsi="Arial"/>
          <w:sz w:val="16"/>
          <w:szCs w:val="16"/>
          <w:i w:val="1"/>
          <w:iCs w:val="1"/>
          <w:color w:val="auto"/>
        </w:rPr>
        <w:t>MONOPOLY</w:t>
      </w:r>
      <w:r>
        <w:rPr>
          <w:rFonts w:ascii="Arial" w:cs="Arial" w:eastAsia="Arial" w:hAnsi="Arial"/>
          <w:sz w:val="16"/>
          <w:szCs w:val="16"/>
          <w:color w:val="auto"/>
        </w:rPr>
        <w:t>™</w:t>
      </w:r>
      <w:r>
        <w:rPr>
          <w:rFonts w:ascii="Arial" w:cs="Arial" w:eastAsia="Arial" w:hAnsi="Arial"/>
          <w:sz w:val="16"/>
          <w:szCs w:val="16"/>
          <w:i w:val="1"/>
          <w:iCs w:val="1"/>
          <w:color w:val="auto"/>
        </w:rPr>
        <w:t>, THE FLINTSTONES</w:t>
      </w:r>
      <w:r>
        <w:rPr>
          <w:rFonts w:ascii="Arial" w:cs="Arial" w:eastAsia="Arial" w:hAnsi="Arial"/>
          <w:sz w:val="16"/>
          <w:szCs w:val="16"/>
          <w:color w:val="auto"/>
        </w:rPr>
        <w:t>™</w:t>
      </w:r>
      <w:r>
        <w:rPr>
          <w:rFonts w:ascii="Arial" w:cs="Arial" w:eastAsia="Arial" w:hAnsi="Arial"/>
          <w:sz w:val="16"/>
          <w:szCs w:val="16"/>
          <w:i w:val="1"/>
          <w:iCs w:val="1"/>
          <w:color w:val="auto"/>
        </w:rPr>
        <w:t>, JAMES BOND</w:t>
      </w:r>
      <w:r>
        <w:rPr>
          <w:rFonts w:ascii="Arial" w:cs="Arial" w:eastAsia="Arial" w:hAnsi="Arial"/>
          <w:sz w:val="16"/>
          <w:szCs w:val="16"/>
          <w:color w:val="auto"/>
        </w:rPr>
        <w:t xml:space="preserve">™, and </w:t>
      </w:r>
      <w:r>
        <w:rPr>
          <w:rFonts w:ascii="Arial" w:cs="Arial" w:eastAsia="Arial" w:hAnsi="Arial"/>
          <w:sz w:val="16"/>
          <w:szCs w:val="16"/>
          <w:i w:val="1"/>
          <w:iCs w:val="1"/>
          <w:color w:val="auto"/>
        </w:rPr>
        <w:t>PLAYBOY</w:t>
      </w:r>
      <w:r>
        <w:rPr>
          <w:rFonts w:ascii="Arial" w:cs="Arial" w:eastAsia="Arial" w:hAnsi="Arial"/>
          <w:sz w:val="16"/>
          <w:szCs w:val="16"/>
          <w:color w:val="auto"/>
        </w:rPr>
        <w:t>™. SciPlay’s access to this content, coupled with our years of experience developing in-house content, uniquely positions SciPlay to create compelling social games.</w:t>
      </w:r>
    </w:p>
    <w:p>
      <w:pPr>
        <w:spacing w:after="0" w:line="116"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A number of trends and opportunities are driving significant changes in digital gaming, which we believe are causing growth in the casual games market and providing opportunities for SciPlay to grow our social casino games and expand into other areas of the casual games market, such as:</w:t>
      </w:r>
    </w:p>
    <w:p>
      <w:pPr>
        <w:spacing w:after="0" w:line="4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Digital gaming is an engaging form of entertainment;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devices are a leading medium to consume content such as games;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number of players with the emergence of casual games;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Scale is increasingly strategic in order to succeed in mobile gaming;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Social casino gaming is an attractive market within digital gaming;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market opportunities within the broader mobile gaming landscape.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SciPlay business segment faces significant competition in all aspects of its business. SciPlay’s primary social casino game competitors include Playtika, Playstudios, Product Madness/Big Fish Games (subsidiaries of Aristocrat), Zynga Inc., DoubleU Games/Double Down Interactive, GSN/Bash Gaming (subsidiaries of Scopley), AppLovin and Huuuge Games. SciPlay’s competitors in the broader social game market include Activision Blizzard, Electronic Arts, Kabam, Take-Two Interactive, Rovio and Tencent Holdings. SciPlay also competes with platforms that host real money gambling, including those provided by our iGaming business segment. On the broadest scale, we compete for the leisure time, attention and discretionary spending of our players versus other forms of online entertainment, including social media and other video games on the basis of a number of factors, including quality of player experience, brand awareness and reputation and access to distribution channels.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iGaming Segment</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Beginning in the third quarter of 2021, we renamed our Digital business segment to “iGaming”, and the presentation was recast for all periods to exclude the Sports Betting business due to its pending sale, as described above and in Note 1. Our iGaming business segment provides a comprehensive suite of digital gaming content, including digital RMG, distribution platforms, content, products and services. We derive revenue from our content aggregation platforms, including Open Gaming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spacing w:after="0" w:line="279" w:lineRule="auto"/>
        <w:rPr>
          <w:sz w:val="20"/>
          <w:szCs w:val="20"/>
          <w:color w:val="auto"/>
        </w:rPr>
      </w:pPr>
      <w:r>
        <w:rPr>
          <w:rFonts w:ascii="Arial" w:cs="Arial" w:eastAsia="Arial" w:hAnsi="Arial"/>
          <w:sz w:val="17"/>
          <w:szCs w:val="17"/>
          <w:color w:val="auto"/>
        </w:rPr>
        <w:t>System, remote gaming servers and various other platforms, which can deliver a wide spectrum of internally developed and branded casino-style games and popular third-party provider casino-style games to gaming operators. We also provide the Open Platform System which offers a wide range of reporting and administrative functions and tools providing operators full control over all areas of digital gaming operations. Generally, we host the play of our game content on our centrally located servers that are integrated with the online casino operators’ websites.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4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our iGaming business, we compete for the discretionary spending of consumers with other digital gaming entertainment companies that offer real-money digital casino games. Our primary real-money digital casino games competitors include IGT, Playtech, Microgaming, Evolution Gaming, GAN and Bragg.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 Business</w:t>
      </w:r>
    </w:p>
    <w:p>
      <w:pPr>
        <w:spacing w:after="0" w:line="14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There are approximately 180 lotteries throughout the world, operated by U.S. and international governmental authorities and their licensees. Governments typically authorize lotteries as a means of generating revenues without imposing additional taxes. Many jurisdictions have come to rely on the proceeds from lottery game sales as a significant source of funding for programs for which net lottery proceeds are designed to fund. Although there are many types of lottery games worldwide, the two principal categories of products offered are draw lottery games and instant lottery products sold both at retail and through internet (iLottery). Currently, 48 U.S. jurisdictions offer instant product lotteries and/or draw lotteries. Lottery operations in international jurisdictions can vary widely depending on the number of new lotteries entering the market, the number of lottery licenses issued within each market and the discontinuance of lotteries and operating licenses.</w:t>
      </w:r>
    </w:p>
    <w:p>
      <w:pPr>
        <w:spacing w:after="0" w:line="1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 xml:space="preserve">An instant lottery product is typically played by removing a scratch-off protective coating from a preprinted ticket to reveal if it is a winner. Draw lottery games, such as </w:t>
      </w:r>
      <w:r>
        <w:rPr>
          <w:rFonts w:ascii="Arial" w:cs="Arial" w:eastAsia="Arial" w:hAnsi="Arial"/>
          <w:sz w:val="17"/>
          <w:szCs w:val="17"/>
          <w:i w:val="1"/>
          <w:iCs w:val="1"/>
          <w:color w:val="auto"/>
        </w:rPr>
        <w:t>POWERBALL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MEGA MILLIONS</w:t>
      </w:r>
      <w:r>
        <w:rPr>
          <w:rFonts w:ascii="Arial" w:cs="Arial" w:eastAsia="Arial" w:hAnsi="Arial"/>
          <w:sz w:val="22"/>
          <w:szCs w:val="22"/>
          <w:color w:val="auto"/>
          <w:vertAlign w:val="superscript"/>
        </w:rPr>
        <w:t>®</w:t>
      </w:r>
      <w:r>
        <w:rPr>
          <w:rFonts w:ascii="Arial" w:cs="Arial" w:eastAsia="Arial" w:hAnsi="Arial"/>
          <w:sz w:val="17"/>
          <w:szCs w:val="17"/>
          <w:color w:val="auto"/>
        </w:rPr>
        <w:t>, are based on a random selection of a series of numbers, and prizes are generally based on the number of winners who share the prize pool, although set prizes are also offered. Draw lottery games are generally provided through a lottery system in which lottery terminals in retail outlets are continuously connected to a central computer system for the sale and validation of lottery games and related functions. A lottery system may also be used to activate, sell and validate instant lottery products to confirm that a ticket is a winner and prevent duplicate payments. In some jurisdictions, separate instant game validation systems may be installed. Digital versions of these games are also available in many global jurisdictions and sold through mobile/internet systems referred to as iLottery.</w:t>
      </w:r>
    </w:p>
    <w:p>
      <w:pPr>
        <w:spacing w:after="0" w:line="12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Lotteries may offer a range of other games including sports betting, high-frequency monitor games and casino-style games via retail and internet. In the U.S., a number of lotteries offer these high frequency monitor games such as keno, which is typically played every four to five minutes in restricted social settings, such as bars, and is usually offered as an extension of the lottery system.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8"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instant lottery products market segment is highly competitive and continues to be subject to intense price-based competition. Our principal instant products competitors in the U.S. are IGT and Pollard Banknote Limited. Internationally, a number of instant lottery product vendors compete with us including the competitors noted above and diversified printers in India, China and Latin America. Our principal competitors in the supply of lottery-related licensed games, promotional entertainment and loyalty or rewards programs are Alchemy3 LLC, IGT, Intralot S.A. and Pollard Banknote Limited.</w:t>
      </w:r>
    </w:p>
    <w:p>
      <w:pPr>
        <w:spacing w:after="0" w:line="90"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lottery systems business is also highly competitive and continues to be subject to intense price-based competition. Our principal competitors in this business are IGT and Intralot S.A. We also compete with various suppliers of lottery system components, such as terminals and computer systems, and lottery operators that internally develop their own systems.</w:t>
      </w:r>
    </w:p>
    <w:p>
      <w:pPr>
        <w:spacing w:after="0" w:line="10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certain countries liberalize gaming regulations, lotteries may expand their scope by offering sports wagering, gaming machines, digital gaming or other forms of gaming, which may introduce new suppliers that compete with us for lottery customers. In some jurisdictions, the liberalization of gaming regulations has included the privatization or outsourcing of all or a portion of the lottery operations via a competitive bidding process to a lottery operator or a license holder. We believe Camelot Group plc, IGT, Intralot, S.A. and Allwyn Entertainment (previously known as “the Sazka Group”) to be among those competitors operators who may also bid on such opportunities. These operators in most cases are customers we serve as a supplier and could also be partners or competitors when we participate as an operator.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Sports Betting Business</w:t>
      </w:r>
    </w:p>
    <w:p>
      <w:pPr>
        <w:spacing w:after="0" w:line="15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Sports Betting business provides highly customizable software design, development, licensing, maintenance and support services from a comprehensive suite of technology solutions. The Sports Betting Business enables our customers 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ind w:right="140"/>
        <w:spacing w:after="0" w:line="277" w:lineRule="auto"/>
        <w:rPr>
          <w:sz w:val="20"/>
          <w:szCs w:val="20"/>
          <w:color w:val="auto"/>
        </w:rPr>
      </w:pPr>
      <w:r>
        <w:rPr>
          <w:rFonts w:ascii="Arial" w:cs="Arial" w:eastAsia="Arial" w:hAnsi="Arial"/>
          <w:sz w:val="18"/>
          <w:szCs w:val="18"/>
          <w:color w:val="auto"/>
        </w:rPr>
        <w:t>operate sports books, including betting markets across both fixed-odds and pari-mutuel betting styles, a distribution platform, full gaming process support services and brand and player management.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44" w:lineRule="exact"/>
        <w:rPr>
          <w:sz w:val="20"/>
          <w:szCs w:val="20"/>
          <w:color w:val="auto"/>
        </w:rPr>
      </w:pPr>
    </w:p>
    <w:p>
      <w:pPr>
        <w:jc w:val="both"/>
        <w:ind w:right="300" w:firstLine="648"/>
        <w:spacing w:after="0" w:line="342" w:lineRule="auto"/>
        <w:rPr>
          <w:sz w:val="20"/>
          <w:szCs w:val="20"/>
          <w:color w:val="auto"/>
        </w:rPr>
      </w:pPr>
      <w:r>
        <w:rPr>
          <w:rFonts w:ascii="Arial" w:cs="Arial" w:eastAsia="Arial" w:hAnsi="Arial"/>
          <w:sz w:val="16"/>
          <w:szCs w:val="16"/>
          <w:color w:val="auto"/>
        </w:rPr>
        <w:t>The Sports Betting business competes for the discretionary spending of consumers with other sports wagering platform solutions. Our primary competitors in sports wagering platform solutions are other “first-party” solutions, including IGT, GAN, DraftKings, William Hill, Bet365 and Kambi.</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believe our ability to attract new Gaming, SciPlay and iGaming customers and retain existing customers depends in part on our ability to evolve and continue to develop our product lines and service offerings by continually developing differentiated products, hardware and systems technology and functionality to enhance player entertainment and/or customer profitability. Additionally, our ability to execute on our strategy (see above) is highly dependent on developing great game content and franchises across all three of our segments along with expanding the use of digital technologies to increase cross-platform play. Our gaming machines are usually designed and programmed by our internal engineering staff, and our game content is designed primarily by internal game development studios who consider market trends and customer feedback.</w:t>
      </w:r>
    </w:p>
    <w:p>
      <w:pPr>
        <w:spacing w:after="0" w:line="97"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have Gaming R&amp;D personnel located in our Las Vegas, Nevada and Chicago, Illinois facilities. We have SciPlay personnel located primarily in Austin, Texas; Cedar Falls, Iowa; and Tel Aviv, Israel. We have iGaming R&amp;D personnel based primarily in the United Kingdom, Greece and India. We also have game development studios in Las Vegas; Sydney, Australia; Manchester, England; India (including Bangalore and Chennai) and additional R&amp;D staff in Reno, Nevada and Vienna, Austria and in various other smaller locations.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Many of our products use intellectual property rights, including trademarks, trade dress, copyrights, patents and trade secrets. We consider our intellectual property rights to be, in the aggregate, material to our business. We protect our investment in R&amp;D by seeking intellectual property protection as appropriate for our technologies and content. We also acquire and license intellectual property from third parties.</w:t>
      </w:r>
    </w:p>
    <w:p>
      <w:pPr>
        <w:spacing w:after="0" w:line="8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terms of our patents vary based on the type of patent and the date and jurisdiction of filing or grant. The term of U.S. design patents expires 15 years from the date of grant, and the term of utility patents generally expires 20 years from the date of filing of the first non-provisional patent application in a family of patents. The actual protection afforded by a patent depends upon the type of patent, the scope of its coverage and the availability of legal remedies in the applicable country. Certain technologies, which are material to our businesses, are the subject of patents issued and patent applications currently pending in the U.S. and certain other countries. Our Gaming, SciPlay and iGaming businesses use our patented and patent-pending technologies in games and associated platforms and systems. In addition, under a patent cross-licensing agreement with IGT, we can offer games using patented game features from the patent portfolios of other members of IGT’s slot game features program.</w:t>
      </w:r>
    </w:p>
    <w:p>
      <w:pPr>
        <w:spacing w:after="0" w:line="110"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We market many of our products under trademarks and copyrights that provide product differentiation and recognition and promote our portfolio of product offerings. All of our games feature elements that are subject to copyright rights and protection. In addition, we generally obtain trademark protection and often seek to register trademarks for the names and designs under which we market and license our products and games. Protections for trademarks exist in many countries, including the U.S., for as long as the trademark is registered and/or used. Registrations are generally issued for fixed, but renewable terms, although trademark rights may exist whether or not a mark is registered and the duration of the registrations varies by country.</w:t>
      </w:r>
    </w:p>
    <w:p>
      <w:pPr>
        <w:spacing w:after="0" w:line="9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our use of both our own and third-party licensed brand names and related intellectual property contributes to the appeal and success of our products, and that our future ability to license, acquire or develop new brand names is important to our continued success. Therefore, we continue to invest in the recognition of our brands and brands that we license. Certain of our games are based on popular brands licensed from third parties, such as Hasbro International, Inc., Fremantle Media North America, CBS Studios Inc., Warner Bros. Consumer Products Inc., Playboy Enterprises International, Inc., Paramount Pictures Corporation, EON Productions Limited, Danjaq LLC, MGM Interactive Inc., MGM Consumer Products, and Mattel Inc. (a brand which is related to our Lottery business).</w:t>
      </w:r>
    </w:p>
    <w:p>
      <w:pPr>
        <w:spacing w:after="0" w:line="1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From time to time, we become aware of potential infringement of our intellectual property by competitors and other third parties and consider what action, if any, to take in that regard, including litigation where appropriate. We are also subject to threatened or actual intellectual property-related claims by third parties from time to time. See the risk factors captioned “Our business depends on the protection of our intellectual property and proprietary information”, “We rely on the ability to use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2" w:name="page13"/>
    <w:bookmarkEnd w:id="12"/>
    <w:p>
      <w:pPr>
        <w:ind w:right="80"/>
        <w:spacing w:after="0" w:line="263" w:lineRule="auto"/>
        <w:rPr>
          <w:sz w:val="20"/>
          <w:szCs w:val="20"/>
          <w:color w:val="auto"/>
        </w:rPr>
      </w:pPr>
      <w:r>
        <w:rPr>
          <w:rFonts w:ascii="Arial" w:cs="Arial" w:eastAsia="Arial" w:hAnsi="Arial"/>
          <w:sz w:val="18"/>
          <w:szCs w:val="18"/>
          <w:color w:val="auto"/>
        </w:rPr>
        <w:t xml:space="preserve">intellectual property rights of third parties”, and “The intellectual property rights of others may prevent us from developing new products and services, entering new markets or may expose us to liability or costly litigation” under the heading “Risk Factors” in </w:t>
      </w:r>
      <w:r>
        <w:rPr>
          <w:rFonts w:ascii="Arial" w:cs="Arial" w:eastAsia="Arial" w:hAnsi="Arial"/>
          <w:sz w:val="18"/>
          <w:szCs w:val="18"/>
          <w:i w:val="1"/>
          <w:iCs w:val="1"/>
          <w:color w:val="auto"/>
        </w:rPr>
        <w:t>Part I, Item 1A</w:t>
      </w:r>
      <w:r>
        <w:rPr>
          <w:rFonts w:ascii="Arial" w:cs="Arial" w:eastAsia="Arial" w:hAnsi="Arial"/>
          <w:sz w:val="18"/>
          <w:szCs w:val="18"/>
          <w:color w:val="auto"/>
        </w:rPr>
        <w:t xml:space="preserve"> of this Annual Report on Form 10-K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Processes, Sources and Availability of Components</w:t>
      </w:r>
    </w:p>
    <w:p>
      <w:pPr>
        <w:spacing w:after="0" w:line="14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currently produce substantially all of our gaming machines through a mix of our manufacturing facilities and contracted parties. We have finishing lines in Las Vegas; Sydney, Australia; Barcelona, Spain; Midrand, South Africa; and Manchester, England. These finishing lines allow for the completion and testing of our gaming machine assemblies from our facilities. We also refurbish used gaming machines primarily at our Las Vegas and Manchester facilities.</w:t>
      </w:r>
    </w:p>
    <w:p>
      <w:pPr>
        <w:spacing w:after="0" w:line="11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Manufacturing commitments are generally based on expected quarterly sales orders from customers. Due to uneven order flow from customers, component parts for gaming machines are purchased and assembled into partial products that are scheduled for just in time delivery to allow final assembly lead time to meet agreed customer delivery dates. Our gaming machine manufacturing processes generally consist of assembling component parts and sub-assemblies into a complete gaming machine. The level of completion and assembly varies by product platform and geographic region.</w:t>
      </w:r>
    </w:p>
    <w:p>
      <w:pPr>
        <w:spacing w:after="0" w:line="90"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Shufflers are assembled in our Las Vegas facility and by third parties near Salzburg, Austria and Juarez, Mexico. The assembly of Shufflers includes various levels of sub-assemblies with completion and testing at one of our finishing lines described above.</w:t>
      </w:r>
    </w:p>
    <w:p>
      <w:pPr>
        <w:spacing w:after="0" w:line="6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Hardware and component parts associated with our CMSs are purchased directly from the contract manufacturers and flow through our Las Vegas facilities with some assembly and testing. These parts do not require a significant amount of assembly and are used primarily in systems implementations, which take place at customer locations.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place advance orders for certain gaming components with long lead times based on projected customer demand.</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 result of the COVID-19 business disruptions (see Note 1) , we are experiencing some supply chain challenges that could impact our ability to meet demand for our products and delay the timing of fulfillment of these orders. We believe we currently have an adequate supply of component parts and raw materials used in the manufacturing of our gaming machines, shufflers and CMSs and that these supply chain challenges are temporary. We are continuously assessing the situation in order to meet customer demand.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Our results of operations can fluctuate due to seasonal trends and other factors. Sales of our gaming machines to casinos are generally strongest in the second half of the year and slowest in the first half of the year, while revenue from our Participation gaming machines is generally highest in the spring and summer. Player activity for SciPlay is generally slower in the second and third quarters of the year, particularly during the summer months. Player activity for our iGaming business, specifically digital casino operations, is generally slower in the third quarter during the summer months and is generally higher in the fourth quarter. Historical seasonality has been impacted by COVID-19 business disruptions and could continue to be impacted in future periods. See the risk factor captioned “Our results of operations fluctuate due to seasonality and other factors, and, therefore, our periodic operating results are not guarantees of future performance” under the heading “Risk Factors” in </w:t>
      </w:r>
      <w:r>
        <w:rPr>
          <w:rFonts w:ascii="Arial" w:cs="Arial" w:eastAsia="Arial" w:hAnsi="Arial"/>
          <w:sz w:val="18"/>
          <w:szCs w:val="18"/>
          <w:i w:val="1"/>
          <w:iCs w:val="1"/>
          <w:color w:val="auto"/>
        </w:rPr>
        <w:t>Part I, Item 1A</w:t>
      </w:r>
      <w:r>
        <w:rPr>
          <w:rFonts w:ascii="Arial" w:cs="Arial" w:eastAsia="Arial" w:hAnsi="Arial"/>
          <w:sz w:val="18"/>
          <w:szCs w:val="18"/>
          <w:color w:val="auto"/>
        </w:rPr>
        <w:t xml:space="preserve"> of this Annual Report on Form 10-K for additional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4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global reach is made possible through the expertise, skill and dedicated efforts of our employees who serve customers in more than 100 countries on 6 continents.</w:t>
      </w:r>
    </w:p>
    <w:p>
      <w:pPr>
        <w:spacing w:after="0" w:line="10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December 31, 2021, in our continuing operations we employed approximately 5,600 persons worldwide, with approximately 2,500 employed domestically and 3,100 employed internationally.</w:t>
      </w:r>
    </w:p>
    <w:p>
      <w:pPr>
        <w:spacing w:after="0" w:line="10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December 31, 2021, our discontinued operations employed approximately 3,900 persons worldwide, with approximately 1,800 employed domestically and 2,100 employed internationally.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58" w:lineRule="exact"/>
        <w:rPr>
          <w:sz w:val="20"/>
          <w:szCs w:val="20"/>
          <w:color w:val="auto"/>
        </w:rPr>
      </w:pPr>
    </w:p>
    <w:p>
      <w:pPr>
        <w:jc w:val="both"/>
        <w:ind w:right="60" w:firstLine="648"/>
        <w:spacing w:after="0" w:line="296" w:lineRule="auto"/>
        <w:rPr>
          <w:sz w:val="20"/>
          <w:szCs w:val="20"/>
          <w:color w:val="auto"/>
        </w:rPr>
      </w:pPr>
      <w:r>
        <w:rPr>
          <w:rFonts w:ascii="Arial" w:cs="Arial" w:eastAsia="Arial" w:hAnsi="Arial"/>
          <w:sz w:val="16"/>
          <w:szCs w:val="16"/>
          <w:color w:val="auto"/>
        </w:rPr>
        <w:t>Diversity, equity and inclusion are embedded in our core value of team spirit, by which we collaborate as one diverse and inclusive team with an upbeat, inventive passion for building great entertainment. In support of this core value, we have formulated a diversity, equity and inclusion strategic plan and established a Diversity, Equity and Inclusion Council and task force in 2020 to make key decisions, review progress, communicate results and identify areas that require further development. We have invested in analysis of our diversity, equity and inclusion data and continue to implement hiring, training, recruiting and retention initiatives across our workforce in line with our diversity, equity and inclusion strategic plan.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3" w:name="page14"/>
    <w:bookmarkEnd w:id="13"/>
    <w:p>
      <w:pPr>
        <w:ind w:right="60" w:firstLine="648"/>
        <w:spacing w:after="0" w:line="259" w:lineRule="auto"/>
        <w:rPr>
          <w:sz w:val="20"/>
          <w:szCs w:val="20"/>
          <w:color w:val="auto"/>
        </w:rPr>
      </w:pPr>
      <w:r>
        <w:rPr>
          <w:rFonts w:ascii="Arial" w:cs="Arial" w:eastAsia="Arial" w:hAnsi="Arial"/>
          <w:sz w:val="18"/>
          <w:szCs w:val="18"/>
          <w:color w:val="auto"/>
        </w:rPr>
        <w:t>We are committed to creating an inclusive global gaming industry as a founding member of the All-In Diversity Project, a non-profit organization creating tools to advance the industry’s diversity, inclusion and workplace equality. As a founding member, we work collaboratively with additional partners to determine diversity, equity and inclusion expectations and standards for the gaming industry, while driving a conversation to establish global standards.</w:t>
      </w:r>
    </w:p>
    <w:p>
      <w:pPr>
        <w:spacing w:after="0" w:line="11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also help drive diversity across our industry by including minority, women, disabled, and/or veteran-owned businesses in our supply chain and by counting some small businesses and businesses in historically underutilized business zones among our suppliers. As one of the leading global suppliers of products and services to gaming operations and lotteries, we believe that diversity in our supplier base is good business. Our supplier diversity program encourages diverse businesses to provide materials and services that offer value and competitive pricing. We are proud to be a national corporate member of the National Minority Supplier Development Council.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health and safety of our employees is a top priority of our leaders. In light of the COVID-19 pandemic, we have implemented work procedures that allow employees to work from home and collaborate remotely. We have also taken measures to keep our workforce safe by monitoring and reducing the impact of the outbreak, including putting in place a global crisis monitoring team, protocols for responding when employees are infected and enhanced cleaning procedures at all sites.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44"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Scientific Games provides a competitive and comprehensive benefits program that is aligned with our business objectives and attempts to inspire employees to drive innovation and improve Company performance. In addition to cash compensation, Scientific Games offers medical, dental and vision plans; employee stock purchase plans; paid time off and paid holidays; company-paid disability; life insurance; 401(k) plans; flexible spending accounts; and employee assistance programs.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4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Each of our business segments is generally subject to extensive and evolving regulation. For the Gaming business segment (and the Lottery business, included in our discontinued operations), regulation customarily includes some form of licensing or regulatory screening of operators, suppliers, manufacturers and distributors and their applicable affiliates, their major shareholders, officers, directors and key employees. In addition, certain of our gaming products and technologies must be certified or approved in certain jurisdictions in which we operate. Regulators review many facets of an applicant or holder of a license, including its financial stability, integrity and business experience. Any failure to receive a license or the loss of a license that we currently hold could have a material adverse effect on us or on our results of operations, cash flow or financial condition. Each of our business segments is subject to a number of foreign and domestic laws and regulations that affect companies conducting business on the internet and over mobile networks, especially in relation to privacy and security. Furthermore, for the SciPlay business segment, there is also significant opposition in some jurisdictions to interactive social gaming, including social casino gaming. For our iGaming business segment, although some states are expanding the availability of digital gaming, there have also been various state and federal bills proposed recently in the U.S. to restrict or prohibit digital gaming and lottery sales. Significant resources are being devoted to supporting these efforts. Although these efforts have generally not been successful, we cannot assure that laws restricting digital gaming or lottery sales will not be passed at either the federal or state level.</w:t>
      </w:r>
    </w:p>
    <w:p>
      <w:pPr>
        <w:spacing w:after="0" w:line="10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While we believe that we are in compliance with all material laws and regulatory requirements applicable to us, we cannot assure that our activities or the activities of our customers will not become the subject of any regulatory or law enforcement proceeding or that any such proceeding would not have a material adverse impact on us or our results of operations, cash flow or financial condition.</w:t>
      </w:r>
    </w:p>
    <w:p>
      <w:pPr>
        <w:spacing w:after="0" w:line="11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have developed and implemented a rigorous internal compliance program in an effort to ensure that we comply with legal requirements imposed in connection with our Gaming, SciPlay, and iGaming activities (along with Lottery and Sports Betting, both included in our discontinued operations) activities, and legal requirements generally applicable to all publicly traded companies. The compliance program is run on a day-to-day basis by our Chief Compliance Officer with legal advice provided by attorneys in our legal and compliance departments and outside experts. The compliance program is overseen by the Compliance Committee of our Board of Directors, which is comprised of employee and non-employee directors and a non-employee gaming law expert. While we are firmly committed to full compliance with all applicable laws, we cannot assure that our compliance program will prevent the violation of one or more laws or regulations, or that a violation by us or an employee will not result in the imposition of a monetary fine or suspension or revocation of one or more of our licenses.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4" w:name="page15"/>
    <w:bookmarkEnd w:id="14"/>
    <w:p>
      <w:pPr>
        <w:ind w:firstLine="648"/>
        <w:spacing w:after="0" w:line="291" w:lineRule="auto"/>
        <w:rPr>
          <w:sz w:val="20"/>
          <w:szCs w:val="20"/>
          <w:color w:val="auto"/>
        </w:rPr>
      </w:pPr>
      <w:r>
        <w:rPr>
          <w:rFonts w:ascii="Arial" w:cs="Arial" w:eastAsia="Arial" w:hAnsi="Arial"/>
          <w:sz w:val="16"/>
          <w:szCs w:val="16"/>
          <w:color w:val="auto"/>
        </w:rPr>
        <w:t>In the EU, various judgments by the Court of Justice of the European Union (“CJEU”) have addressed the approaches adopted by certain member states to restrict and/or regulate gaming. Topics addressed in those judgments include the ability of member states to grant, or to maintain, monopolies for gaming (and lottery) activities and the power of member states to limit access by gaming (and/or lottery) providers established elsewhere in the EU. In December 2017, the European Commission dropped all enforcement actions related to gambling in an effort to change the way it enforces EU law, leaving compliance with EU laws to national courts. Notwithstanding this development, the European Commission adopted a decision in April 2018 requesting the European Committee for Standardization (a group of EU regulators and industry bodies) to draft a European standard on reporting in support of supervision of online gambling services and there have been calls for the European Commission to ensure full enforcement of EU law.</w:t>
      </w:r>
    </w:p>
    <w:p>
      <w:pPr>
        <w:spacing w:after="0" w:line="9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While we believe that we have developed appropriate procedures and policies to comply with the requirements of these evolving laws and legal pronouncements, we cannot assure that our activities or the activities of our customers will not become the subject of law enforcement proceedings or that any such proceedings would not have a material adverse impact on us or our business plans. Furthermore, laws and regulations applicable to gaming (and lotteries) in U.S. and international jurisdictions are subject to change and the effect of such changes on our ongoing and potential operations cannot be predicted with certainty.</w:t>
      </w:r>
    </w:p>
    <w:p>
      <w:pPr>
        <w:spacing w:after="0" w:line="10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From time to time, we retain government affairs representatives in various U.S. and international jurisdictions to advise elected and appointed officials and the public concerning our views on gaming (and lottery-related) legislation, and to monitor such legislation and to advise us in our relations with gaming (and lottery) authorities.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5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provide our games, gaming machines, gaming systems, table products and related products and services in legal gaming jurisdictions worldwide. The manufacture, distribution, provision and operation of our gaming products and services is subject to regulation and approval by various city, county, state, provincial, federal, tribal and foreign agencies. The primary purposes of these rules are to (1) ensure the responsibility, financial stability and character of the parties involved in these activities through licensing and registration requirements, (2) ensure the integrity and compliance of our gaming products and services and (3) prohibit the use of gaming products and services at unauthorized locations or for the benefit of undesirable parties.</w:t>
      </w:r>
    </w:p>
    <w:p>
      <w:pPr>
        <w:spacing w:after="0" w:line="8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Typically, gaming regulations in the jurisdictions in which we operate are established by statute and are administered by a regulatory agency with broad authority to interpret gaming regulations and to regulate gaming activities. Among other things, gaming authorities in the various jurisdictions in which we are licensed:</w:t>
      </w:r>
    </w:p>
    <w:p>
      <w:pPr>
        <w:spacing w:after="0" w:line="1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adopt additional rules and regulations under the implementing statutes;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investigate violations of gaming regulations;</w:t>
      </w:r>
    </w:p>
    <w:p>
      <w:pPr>
        <w:spacing w:after="0" w:line="63"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enforce gaming regulations and impose disciplinary sanctions for violations of such laws, including fines, penalties and revocation of gaming licenses;</w:t>
      </w:r>
    </w:p>
    <w:p>
      <w:pPr>
        <w:spacing w:after="0" w:line="8"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the character and fitness of manufacturers, distributors and operators of gaming products and services and make determinations regarding their suitability or qualification for licensure;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grant licenses for the manufacture, distribution and operation of gaming products and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review and approve transactions (such as acquisitions, material commercial transactions, securities offerings and debt transactions); and</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and collect related fees and/or taxes.</w:t>
      </w:r>
    </w:p>
    <w:p>
      <w:pPr>
        <w:spacing w:after="0" w:line="15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believe we hold all of the licenses and permits necessary to conduct our business. We are authorized to sell, lease or operate our gaming products and services in approximately 464 jurisdictions worldwide (including jurisdictions that do not require licensing), including approximately 182 international gaming jurisdictions.</w:t>
      </w:r>
    </w:p>
    <w:p>
      <w:pPr>
        <w:spacing w:after="0" w:line="10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addition, a number of U.S. states authorize wagering on VLTs at state regulated and licensed facilities. Although some states restrict VLTs to already existing wagering facilities, others permit these machines to be placed at venues such as bars, restaurants, truck stops and other specifically licensed gaming facilities. In addition, all of the Canadian provinces and various other international jurisdictions have authorized VLTs.</w:t>
      </w:r>
    </w:p>
    <w:p>
      <w:pPr>
        <w:spacing w:after="0" w:line="98"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Regulatory requirements vary among jurisdictions, but the majority of jurisdictions require licenses, permits or findings of suitability for our company, individual officers, directors, major stockholders and key employees. Our gaming hardware and software also must be approved either by a gaming authority laboratory or a private laboratory authorized by the gaming authority.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SciPlay</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SciPlay is subject to a number of foreign and domestic laws and regulations that affect companies operating online, including over the internet and mobile networks, many of which are still evolving and being interpreted. We are also subject to a number of federal, state, local and foreign laws and regulations governing data privacy and security, including with respect to the collection, storage, use, transmission and protection of personal information and other consumer data. The scope of data privacy and security regulations continues to evolve, and we believe that the adoption of increasingly restrictive regulations in this area is likely within the U.S. and other jurisdictions.</w:t>
      </w:r>
    </w:p>
    <w:p>
      <w:pPr>
        <w:spacing w:after="0" w:line="107"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There is also significant opposition in some jurisdictions to interactive social gaming, including social casino gaming. Some states or countries have anti-gaming groups that specifically target social casino games. Such opposition could lead these jurisdictions to adopt legislation or impose a regulatory framework to govern interactive social gaming or social casino gaming specifically. These could result in a prohibition on interactive social gaming or social casino gaming altogether, restrict our ability to advertise our games, or substantially increase our costs to comply with these regulations.</w:t>
      </w:r>
    </w:p>
    <w:p>
      <w:pPr>
        <w:spacing w:after="0" w:line="9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continue to devote significant attention to monitoring these developments. However, we cannot predict the timing, scope or terms of any state, federal or foreign regulations relating to SciPlay.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iGaming</w:t>
      </w:r>
    </w:p>
    <w:p>
      <w:pPr>
        <w:spacing w:after="0" w:line="14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the U.S., the Unlawful Internet Gambling Enforcement Act of 2006 (“UIGEA”) prohibits among other things, the acceptance by a business of a wager by means of the internet where such wager is prohibited by any federal or state law where initiated, received or otherwise made. Under UIGEA severe criminal and civil sanctions may be imposed on the owners and operators of such systems and on financial institutions that process wagering transactions. The law contains a safe harbor for wagers placed within a single state (disregarding intermediate routing of the transmission) where the method of placing the bet and receiving the bet is authorized by that state’s law, provided the underlying regulations establish appropriate age and location verification.</w:t>
      </w:r>
    </w:p>
    <w:p>
      <w:pPr>
        <w:spacing w:after="0" w:line="1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Until 2011, there was uncertainty as to whether the Federal Wire Act of 1961 (the “Wire Act”) prohibited states from conducting intrastate lottery transactions via the internet if such transactions crossed state lines. In late 2011, the Office of Legal Counsel of the DOJ (the “OLC”) issued an opinion which concluded that the prohibitions of the Wire Act were limited to sports gambling and thus did not apply to state lotteries at all (the “2011 DOJ opinion”).</w:t>
      </w:r>
    </w:p>
    <w:p>
      <w:pPr>
        <w:spacing w:after="0" w:line="11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Following the issuance of the 2011 DOJ opinion, a number of states have adopted or are considering adopting legislation to specifically authorize online poker, online gambling and sports wagering. On May 14, 2018, the Supreme Court of the U.S. overturned the PASPA, a decision that opened up a path to legalization of sports wagering across the country. Following this ruling, at least 25 states have legalized sports wagering, with some of those states permitting online sports wagering. Other states are considering legislation that would permit legal sports wagering, both land based and online. Additionally, six state lotteries offer (and other lotteries are considering offering) internet instant game sales to in-state lottery customers, and a number of other states allow subscription sales of draw games over the internet. Pennsylvania’s gaming expansion bill in October 2017, which authorized online casino and land based and online sports wagering, also authorized Pennsylvania’s lottery to distribute lottery products, including instant ticket games, through numerous channels including web applications, mobile applications, mobile web, tablets and social media.</w:t>
      </w:r>
    </w:p>
    <w:p>
      <w:pPr>
        <w:spacing w:after="0" w:line="8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2018, at the request of the Criminal Division, the OLC reconsidered the 2011 DOJ opinion’s conclusion that the Wire Act was limited to sports gambling. On January 14, 2019, the OLC published a legal opinion dated November 2, 2018 (the “2018 DOJ opinion”), which concluded that the 2011 DOJ opinion had incorrectly interpreted the Wire Act. In the 2018 DOJ opinion, the OLC concluded that the restrictions on the transmission in interstate or foreign commerce of bets and wagers in the Wire Act were not limited to sports gambling but instead applied to all bets and wagers. These restrictions therefore apply equally to our iGaming, iLottery, and sports betting solutions and services. The OLC also found that the enactment of the UIGEA described above did not modify the scope of the Wire Act. The DOJ later issued memoranda directing federal law enforcement agencies to refrain from enforcing the conclusions of the 2018 DOJ opinion for activities other than sports betting until June 30, 2020. No official extension of the forbearance period has been announced. On January 20, 2021, the U.S. Court of Appeals for the First Circuit issued an opinion that the Wire Act applies only to the interstate transmission of wire communications related to sports gambling and not to all bets and wagers. At this time, we are unable to determine whether the 2018 DOJ opinion will be upheld by other courts or what impact the 2018 DOJ opinion or the impact of any other challenge to the 2018 DOJ opinion will have on us or our customers.</w:t>
      </w:r>
    </w:p>
    <w:p>
      <w:pPr>
        <w:spacing w:after="0" w:line="1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some states are expanding the availability of digital gaming, there have also been various state and federal bills proposed recently in the U.S. to restrict or prohibit digital gaming and lottery sales, and significant resources are being devoted to supporting these efforts. Although these efforts have generally not been successful, we cannot assure that laws restricting digital gaming or lottery sales will not be passed at either the federal or state level. For instance, in May 2015,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ind w:right="520"/>
        <w:spacing w:after="0" w:line="342" w:lineRule="auto"/>
        <w:rPr>
          <w:sz w:val="20"/>
          <w:szCs w:val="20"/>
          <w:color w:val="auto"/>
        </w:rPr>
      </w:pPr>
      <w:r>
        <w:rPr>
          <w:rFonts w:ascii="Arial" w:cs="Arial" w:eastAsia="Arial" w:hAnsi="Arial"/>
          <w:sz w:val="16"/>
          <w:szCs w:val="16"/>
          <w:color w:val="auto"/>
        </w:rPr>
        <w:t>Minnesota legislature passed an amendment to the state’s lottery law prohibiting the sale of instant win lottery tickets over the internet. Furthermore, changes in the executive branches of government at the state and federal level could affect federal and state policies on gaming as well.</w:t>
      </w:r>
    </w:p>
    <w:p>
      <w:pPr>
        <w:spacing w:after="0" w:line="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December 19, 2019, the U.K. Government confirmed the proposed review of the Gambling Act 2005. The review started on December 8, 2020 with the publication of terms of reference The call for evidence ran for 16 weeks and closed on March 31, 2021. The U.K. Government is currently considering submissions in advance of publishing a White Paper, which has reportedly been delayed until May 2022. Any legislative changes are unlikely to receive parliamentary scrutiny until late 2022 or 2023. To varying degrees, a number of European governments have taken steps to change the regulation of internet wagering (also known as online gambling) through the implementation of new or revised licensing and taxation regimes, with increasingly stringent requirements particularly on B2Cs in relation to responsible gambling and affordability checks. Also, some jurisdictions impose sanctions on unlicensed providers. Countries outside Europe and the U.S. have also begun evaluating digital gaming regulation and an increase in regulated markets outside of the U.S. and Europe is likely to continue. Some of our competitors may be more willing to provide internet wagering in countries where the relevant laws and regulations are unclear or not uniformly enforced, putting us at a competitive disadvantage if we do not provide services related to internet wagering in such countries.</w:t>
      </w:r>
    </w:p>
    <w:p>
      <w:pPr>
        <w:spacing w:after="0" w:line="10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continue to devote significant attention to monitoring these developments. However, we cannot predict the timing, scope or terms of any state, federal or foreign regulations relating to digital gaming, sports betting and lottery sales.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Lottery and Sports Betting Businesses - Discontinued Operations</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regards to the Lottery business, currently, 48 U.S. jurisdictions offer instant game lotteries and/or draw lotteries. The operation of lotteries in the U.S. and internationally is subject to extensive regulation. Although certain features of a lottery, such as the percentage of gross revenues that must be paid back to players in prize money, are usually set by legislation, lottery regulatory authorities generally exercise significant discretion, including with respect to the determination of the types of games played, the price of each wager, the manner in which the lottery is marketed and the selection of suppliers of equipment, technology and services and retailers of lottery products.</w:t>
      </w:r>
    </w:p>
    <w:p>
      <w:pPr>
        <w:spacing w:after="0" w:line="10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To ensure the integrity of contract awards and lottery operations, most jurisdictions require detailed background disclosure on a continuous basis from, and conduct background investigations of, vendors and their officers, directors, subsidiaries, affiliates and principal stockholders. Background investigations of the vendors’ employees who will be directly responsible for the operation of lottery systems are also generally conducted and most states reserve the right to require the removal of employees who they deem to be unsuitable or whose presence they believe may adversely affect the operational security or integrity of the lottery. Certain jurisdictions also require extensive personal and financial disclosure and background checks from persons and entities that hold a specified percentage (typically five percent or more) of a vendor’s securities either legally, beneficially and/or through voting rights. The failure of such holders of our securities to submit to background checks and provide such disclosure could result in the imposition of penalties and could jeopardize the award of a lottery contract to us or provide grounds for termination of an existing lottery contract.</w:t>
      </w:r>
    </w:p>
    <w:p>
      <w:pPr>
        <w:spacing w:after="0" w:line="9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award of lottery contracts and ongoing operations of lotteries in international jurisdictions are also extensively regulated, although international regulations typically vary from those prevailing in the U.S. Restrictions are frequently imposed on foreign companies seeking to do business in such jurisdictions and, as a consequence, we have in a number of instances allied ourselves with local companies when seeking international lottery contracts.</w:t>
      </w:r>
    </w:p>
    <w:p>
      <w:pPr>
        <w:spacing w:after="0" w:line="11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regards to the Sports Betting business and further Lottery government regulation, see above iGaming discussion on 2011 DOJ Opinion and 2018 DOJ Opinion.</w:t>
      </w:r>
    </w:p>
    <w:p>
      <w:pPr>
        <w:spacing w:after="0" w:line="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continue to devote significant attention to monitoring these developments. However, we cannot predict the timing, scope or terms of any state, federal or foreign regulations relating to our businesses.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 Regarding Government Regulations</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subject to specific gaming requirements in the different jurisdictions in which we operate. For additional information, we have filed a summary of the gaming regulations that govern our businesses as an exhibit to this Annual Report on Form 10-K. See Exhibit 99.5 “Gaming Regulations”. In addition,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w:t>
      </w:r>
      <w:r>
        <w:rPr>
          <w:rFonts w:ascii="Arial" w:cs="Arial" w:eastAsia="Arial" w:hAnsi="Arial"/>
          <w:sz w:val="18"/>
          <w:szCs w:val="18"/>
          <w:i w:val="1"/>
          <w:iCs w:val="1"/>
          <w:color w:val="auto"/>
        </w:rPr>
        <w:t>Part I, Item 1A</w:t>
      </w:r>
      <w:r>
        <w:rPr>
          <w:rFonts w:ascii="Arial" w:cs="Arial" w:eastAsia="Arial" w:hAnsi="Arial"/>
          <w:sz w:val="18"/>
          <w:szCs w:val="18"/>
          <w:color w:val="auto"/>
        </w:rPr>
        <w:t xml:space="preserve"> of this Annual Report on Form 10-K for a discussion of risk factors related to regulations to which we may be subject.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information regarding each of our executive officers is set forth below.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7" w:name="page18"/>
    <w:bookmarkEnd w:id="17"/>
    <w:tbl>
      <w:tblPr>
        <w:tblLayout w:type="fixed"/>
        <w:tblInd w:w="40" w:type="dxa"/>
        <w:tblCellMar>
          <w:top w:w="0" w:type="dxa"/>
          <w:left w:w="0" w:type="dxa"/>
          <w:bottom w:w="0" w:type="dxa"/>
          <w:right w:w="0" w:type="dxa"/>
        </w:tblCellMar>
      </w:tblPr>
      <w:tr>
        <w:trPr>
          <w:trHeight w:val="213"/>
        </w:trPr>
        <w:tc>
          <w:tcPr>
            <w:tcW w:w="27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Age</w:t>
            </w:r>
          </w:p>
        </w:tc>
        <w:tc>
          <w:tcPr>
            <w:tcW w:w="7700" w:type="dxa"/>
            <w:vAlign w:val="bottom"/>
          </w:tcPr>
          <w:p>
            <w:pPr>
              <w:spacing w:after="0"/>
              <w:rPr>
                <w:sz w:val="20"/>
                <w:szCs w:val="20"/>
                <w:color w:val="auto"/>
              </w:rPr>
            </w:pPr>
            <w:r>
              <w:rPr>
                <w:rFonts w:ascii="Arial" w:cs="Arial" w:eastAsia="Arial" w:hAnsi="Arial"/>
                <w:sz w:val="16"/>
                <w:szCs w:val="16"/>
                <w:b w:val="1"/>
                <w:bCs w:val="1"/>
                <w:color w:val="auto"/>
              </w:rPr>
              <w:t>Position</w:t>
            </w:r>
          </w:p>
        </w:tc>
      </w:tr>
      <w:tr>
        <w:trPr>
          <w:trHeight w:val="226"/>
        </w:trPr>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Barry L. Cottle</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Borders>
              <w:top w:val="single" w:sz="8" w:color="CCEEFF"/>
            </w:tcBorders>
            <w:shd w:val="clear" w:color="auto" w:fill="CCEEFF"/>
          </w:tcPr>
          <w:p>
            <w:pPr>
              <w:spacing w:after="0"/>
              <w:rPr>
                <w:sz w:val="19"/>
                <w:szCs w:val="19"/>
                <w:color w:val="auto"/>
              </w:rPr>
            </w:pPr>
          </w:p>
        </w:tc>
        <w:tc>
          <w:tcPr>
            <w:tcW w:w="7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 and Director</w:t>
            </w:r>
          </w:p>
        </w:tc>
      </w:tr>
      <w:tr>
        <w:trPr>
          <w:trHeight w:val="229"/>
        </w:trPr>
        <w:tc>
          <w:tcPr>
            <w:tcW w:w="2780" w:type="dxa"/>
            <w:vAlign w:val="bottom"/>
            <w:gridSpan w:val="2"/>
          </w:tcPr>
          <w:p>
            <w:pPr>
              <w:spacing w:after="0"/>
              <w:rPr>
                <w:sz w:val="20"/>
                <w:szCs w:val="20"/>
                <w:color w:val="auto"/>
              </w:rPr>
            </w:pPr>
            <w:r>
              <w:rPr>
                <w:rFonts w:ascii="Arial" w:cs="Arial" w:eastAsia="Arial" w:hAnsi="Arial"/>
                <w:sz w:val="18"/>
                <w:szCs w:val="18"/>
                <w:color w:val="auto"/>
              </w:rPr>
              <w:t>Constance P. James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Executive Vice President, Chief Financial Officer, Treasurer and Corporate Secretary</w:t>
            </w:r>
          </w:p>
        </w:tc>
      </w:tr>
      <w:tr>
        <w:trPr>
          <w:trHeight w:val="23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Sottile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shd w:val="clear" w:color="auto" w:fill="CCEEFF"/>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Legal Officer</w:t>
            </w:r>
          </w:p>
        </w:tc>
      </w:tr>
      <w:tr>
        <w:trPr>
          <w:trHeight w:val="229"/>
        </w:trPr>
        <w:tc>
          <w:tcPr>
            <w:tcW w:w="2780" w:type="dxa"/>
            <w:vAlign w:val="bottom"/>
            <w:gridSpan w:val="2"/>
          </w:tcPr>
          <w:p>
            <w:pPr>
              <w:spacing w:after="0"/>
              <w:rPr>
                <w:sz w:val="20"/>
                <w:szCs w:val="20"/>
                <w:color w:val="auto"/>
              </w:rPr>
            </w:pPr>
            <w:r>
              <w:rPr>
                <w:rFonts w:ascii="Arial" w:cs="Arial" w:eastAsia="Arial" w:hAnsi="Arial"/>
                <w:sz w:val="18"/>
                <w:szCs w:val="18"/>
                <w:color w:val="auto"/>
              </w:rPr>
              <w:t>Matthew Wilson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Executive Vice President and Group Chief Executive, Gaming</w:t>
            </w:r>
          </w:p>
        </w:tc>
      </w:tr>
      <w:tr>
        <w:trPr>
          <w:trHeight w:val="23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J. McHugh</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shd w:val="clear" w:color="auto" w:fill="CCEEFF"/>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Group Chief Executive, Lottery</w:t>
            </w: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Stephen E. Richardson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Senior Vice President, Chief Compliance Officer and Director of Corporate Security</w:t>
            </w:r>
          </w:p>
        </w:tc>
      </w:tr>
    </w:tbl>
    <w:p>
      <w:pPr>
        <w:spacing w:after="0" w:line="13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 xml:space="preserve">Barry L. Cottle </w:t>
      </w:r>
      <w:r>
        <w:rPr>
          <w:rFonts w:ascii="Arial" w:cs="Arial" w:eastAsia="Arial" w:hAnsi="Arial"/>
          <w:sz w:val="18"/>
          <w:szCs w:val="18"/>
          <w:color w:val="auto"/>
        </w:rPr>
        <w:t>has served as President and Chief Executive Officer since June 2018. Mr. Cottle has also served as Executive Chairman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of SciPlay since April 2019. Mr. Cottle joined SGC as Chief Executive, SG Interactive, in August 2015 to lead the strategy and growth plans of the Interactive group. Before joining SGC, Mr. Cottle served as Vice Chairman of Deluxe Entertainment Services Group Inc. from February 2015 until August 2015 while concurrently serving as Senior Vice President of Technology at MacAndrews &amp; Forbes Incorporated from February 2015 until August 2017, where he helped drive digital innovation. Prior to that, he was the Chief Revenue Officer and Executive Vice President—Games for Zynga Inc. from January 2012 until October 2014, where he led corporate and business development, strategic partnerships, distribution, marketing and advertising and ultimately the Social Casino group. Previously, Mr. Cottle served as the Executive Vice President—Interactive for Electronic Arts Inc. from August 2007 to January 2012. Earlier in his career, Mr. Cottle served as the Founder/Chief Executive Officer of Quickoffice, Inc.; Chief Operating Officer of Palm, Inc.; and Senior Vice President of Disney TeleVentures, a division of The Walt Disney Company dedicated to creating interactive online/TV experiences.</w:t>
      </w:r>
    </w:p>
    <w:p>
      <w:pPr>
        <w:spacing w:after="0" w:line="113"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i w:val="1"/>
          <w:iCs w:val="1"/>
          <w:color w:val="auto"/>
        </w:rPr>
        <w:t xml:space="preserve">Constance P. James </w:t>
      </w:r>
      <w:r>
        <w:rPr>
          <w:rFonts w:ascii="Arial" w:cs="Arial" w:eastAsia="Arial" w:hAnsi="Arial"/>
          <w:sz w:val="16"/>
          <w:szCs w:val="16"/>
          <w:color w:val="auto"/>
        </w:rPr>
        <w:t>has served as Executive Vice President, Chief Financial Officer, Treasurer and Corporate Secretary for Scientific Games since</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2021. Prior to this role, Ms. James served as the Company’s Chief Financial Officer, Gaming beginning in January 2020. Most recently, she served as a Corporate Vice President of Finance for Cargill, a global supplier of food, agriculture, nutrition and risk management. Previously, Ms. James was the CFO of the Global Land Based Gaming division at Aristocrat Leisure Ltd. (“Aristocrat”), one of the world’s leading providers of gaming solutions.</w:t>
      </w:r>
    </w:p>
    <w:p>
      <w:pPr>
        <w:spacing w:after="0" w:line="9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i w:val="1"/>
          <w:iCs w:val="1"/>
          <w:color w:val="auto"/>
        </w:rPr>
        <w:t xml:space="preserve">James Sottile </w:t>
      </w:r>
      <w:r>
        <w:rPr>
          <w:rFonts w:ascii="Arial" w:cs="Arial" w:eastAsia="Arial" w:hAnsi="Arial"/>
          <w:sz w:val="18"/>
          <w:szCs w:val="18"/>
          <w:color w:val="auto"/>
        </w:rPr>
        <w:t>has served as Executive Vice President and Chief Legal Officer since September 2018. Prior to this role, Mr. Sottile was with Jones</w:t>
      </w:r>
      <w:r>
        <w:rPr>
          <w:rFonts w:ascii="Arial" w:cs="Arial" w:eastAsia="Arial" w:hAnsi="Arial"/>
          <w:sz w:val="18"/>
          <w:szCs w:val="18"/>
          <w:i w:val="1"/>
          <w:iCs w:val="1"/>
          <w:color w:val="auto"/>
        </w:rPr>
        <w:t xml:space="preserve"> </w:t>
      </w:r>
      <w:r>
        <w:rPr>
          <w:rFonts w:ascii="Arial" w:cs="Arial" w:eastAsia="Arial" w:hAnsi="Arial"/>
          <w:sz w:val="18"/>
          <w:szCs w:val="18"/>
          <w:color w:val="auto"/>
        </w:rPr>
        <w:t>Day, where he was a partner in its New York office. Mr. Sottile was named a notable practitioner by Chambers USA: America’s Leading Business Lawyers from 2005 to 2018 and was recognized in The Best Lawyers in America from 2011 to 2018.</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Patrick J. McHugh </w:t>
      </w:r>
      <w:r>
        <w:rPr>
          <w:rFonts w:ascii="Arial" w:cs="Arial" w:eastAsia="Arial" w:hAnsi="Arial"/>
          <w:sz w:val="18"/>
          <w:szCs w:val="18"/>
          <w:color w:val="auto"/>
        </w:rPr>
        <w:t>has served as Executive Vice President and Group Chief Executive, Lottery since January 2019. Prior to this role, Mr. McHugh</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Company’s Senior Vice President, Global Lottery Systems from November 2015 to December 2018, and prior to that, Mr. McHugh served in various positions at the Company, including on the leadership executive team.</w:t>
      </w:r>
    </w:p>
    <w:p>
      <w:pPr>
        <w:spacing w:after="0" w:line="10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Matthew Wilson </w:t>
      </w:r>
      <w:r>
        <w:rPr>
          <w:rFonts w:ascii="Arial" w:cs="Arial" w:eastAsia="Arial" w:hAnsi="Arial"/>
          <w:sz w:val="18"/>
          <w:szCs w:val="18"/>
          <w:color w:val="auto"/>
        </w:rPr>
        <w:t>has served as Executive Vice President and Group Chief Executive, Gaming since March 2020. Mr. Wilson has over sixteen years</w:t>
      </w:r>
      <w:r>
        <w:rPr>
          <w:rFonts w:ascii="Arial" w:cs="Arial" w:eastAsia="Arial" w:hAnsi="Arial"/>
          <w:sz w:val="18"/>
          <w:szCs w:val="18"/>
          <w:i w:val="1"/>
          <w:iCs w:val="1"/>
          <w:color w:val="auto"/>
        </w:rPr>
        <w:t xml:space="preserve"> </w:t>
      </w:r>
      <w:r>
        <w:rPr>
          <w:rFonts w:ascii="Arial" w:cs="Arial" w:eastAsia="Arial" w:hAnsi="Arial"/>
          <w:sz w:val="18"/>
          <w:szCs w:val="18"/>
          <w:color w:val="auto"/>
        </w:rPr>
        <w:t>of gaming industry experience. Prior to his role at Scientific Games, he was the Managing Director of the Americas at Aristocrat from February 2017 until August 2019. Mr. Wilson began his tenure at Aristocrat 2004 and held several significant positions in a variety of Aristocrat’s markets during his time there, including serving as Senior Vice President Sales &amp; Marketing Americas from September 2014 until October 2015. His other roles at Aristocrat include Regional Sales Manager and Vice President of Marketing for the Americas.</w:t>
      </w:r>
    </w:p>
    <w:p>
      <w:pPr>
        <w:spacing w:after="0" w:line="12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i w:val="1"/>
          <w:iCs w:val="1"/>
          <w:color w:val="auto"/>
        </w:rPr>
        <w:t xml:space="preserve">Stephen E. Richardson </w:t>
      </w:r>
      <w:r>
        <w:rPr>
          <w:rFonts w:ascii="Arial" w:cs="Arial" w:eastAsia="Arial" w:hAnsi="Arial"/>
          <w:sz w:val="18"/>
          <w:szCs w:val="18"/>
          <w:color w:val="auto"/>
        </w:rPr>
        <w:t>has served as Senior Vice President, Chief Compliance Officer and Director of Corporate Security since April 2018.</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Mr. Richardson served the Federal Bureau of Investigation over a 20-year decorated career, most recently as the Assistant Director of the FBI’s Criminal Investigative Division in Washington, DC.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Public Filings</w:t>
      </w:r>
    </w:p>
    <w:p>
      <w:pPr>
        <w:spacing w:after="0" w:line="148"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We file annual reports, quarterly reports, current reports, proxy statements and other documents with the SEC under the Exchange Act. The SEC maintains an Internet site that contains reports, proxy and information statements and other information regarding issuers that file electronically with the SEC at www.sec.gov.</w:t>
      </w:r>
    </w:p>
    <w:p>
      <w:pPr>
        <w:spacing w:after="0" w:line="116" w:lineRule="exact"/>
        <w:rPr>
          <w:sz w:val="20"/>
          <w:szCs w:val="20"/>
          <w:color w:val="auto"/>
        </w:rPr>
      </w:pPr>
    </w:p>
    <w:p>
      <w:pPr>
        <w:ind w:right="540" w:firstLine="648"/>
        <w:spacing w:after="0" w:line="263" w:lineRule="auto"/>
        <w:rPr>
          <w:sz w:val="20"/>
          <w:szCs w:val="20"/>
          <w:color w:val="auto"/>
        </w:rPr>
      </w:pPr>
      <w:r>
        <w:rPr>
          <w:rFonts w:ascii="Arial" w:cs="Arial" w:eastAsia="Arial" w:hAnsi="Arial"/>
          <w:sz w:val="18"/>
          <w:szCs w:val="18"/>
          <w:color w:val="auto"/>
        </w:rPr>
        <w:t>We make the following information, among others, available as soon as practically possible free of charge through the Investors link on our website at www.scientificgames.com/investors and we use our website as a means of disclosing material information to the public in a broad, non-exclusionary manner for purposes of the SEC’s Regulation Fair Disclosure (Reg FD):</w:t>
      </w:r>
    </w:p>
    <w:p>
      <w:pPr>
        <w:spacing w:after="0" w:line="116" w:lineRule="exact"/>
        <w:rPr>
          <w:sz w:val="20"/>
          <w:szCs w:val="20"/>
          <w:color w:val="auto"/>
        </w:rPr>
      </w:pPr>
    </w:p>
    <w:p>
      <w:pPr>
        <w:ind w:left="660" w:right="5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annual reports on Form 10-K, quarterly reports on Form 10-Q, current reports on Form 8-K and amendments to those reports as soon as reasonably practicable after they are filed electronically with or furnished to the SEC;</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8" w:name="page19"/>
    <w:bookmarkEnd w:id="18"/>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16 ownership reports filed by our executive officers, directors and 10% stockholders on Forms 3, 4 and 5 and amendments to those reports as soon as reasonably practicable after they are filed electronically with the SEC; and</w:t>
      </w:r>
    </w:p>
    <w:p>
      <w:pPr>
        <w:spacing w:after="0" w:line="8"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Code of Business Conduct, which applies to all of our officers, directors and employees (which is also our required code of ethics applicable to our Chief Executive Officer, and Chief Financial Officer in keeping with the Sarbanes-Oxley Act of 2002).</w:t>
      </w:r>
    </w:p>
    <w:p>
      <w:pPr>
        <w:spacing w:after="0" w:line="10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above details about our website and its content are only for information. The contents of our website are not, nor shall they be deemed to be, incorporated by reference in this Annual Report on Form 10-K.</w:t>
      </w:r>
    </w:p>
    <w:p>
      <w:pPr>
        <w:spacing w:after="0" w:line="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6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risks described below are not the only risks facing us. Please be aware that additional risks and uncertainties not currently known to us or that we currently deem to be immaterial could also materially and adversely affect our business operations. You should also refer to the other information contained in our periodic reports, including the Forward-Looking Statements section, our consolidated financial statements and the related notes and Management’s Discussion and Analysis of Financial Condition and Results of Operations for a further discussion of the risks, uncertainties and assumptions relating to our business. Except where the context otherwise indicates, references below to the “Company,” “we,” “our,” “ours” and “us” include all of our subsidiaries.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Risk Factors Summary</w:t>
      </w:r>
    </w:p>
    <w:p>
      <w:pPr>
        <w:spacing w:after="0" w:line="148"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following is a summary of some of the risks and uncertainties that could materially adversely affect our business, financial condition and results of operations. You should read this summary together with the more detailed description of each risk factor contained below.</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Risks Relating to Economic and Current Conditions Impacting us and our Business</w:t>
      </w:r>
    </w:p>
    <w:p>
      <w:pPr>
        <w:spacing w:after="0" w:line="162" w:lineRule="exact"/>
        <w:rPr>
          <w:sz w:val="20"/>
          <w:szCs w:val="20"/>
          <w:color w:val="auto"/>
        </w:rPr>
      </w:pPr>
    </w:p>
    <w:p>
      <w:pPr>
        <w:ind w:left="980" w:right="20" w:hanging="324"/>
        <w:spacing w:after="0" w:line="286"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COVID-19 pandemic and similar health epidemics, contagious disease outbreaks and public perception thereof, continue to and, in the future, could significantly impact our operations and, should negative impacts such as significant player engagement develop, adversely affect and continue to adversely affect our operations, business, results of operations, cash flows and financial condition.</w:t>
      </w:r>
    </w:p>
    <w:p>
      <w:pPr>
        <w:spacing w:after="0" w:line="84" w:lineRule="exact"/>
        <w:rPr>
          <w:rFonts w:ascii="Arial" w:cs="Arial" w:eastAsia="Arial" w:hAnsi="Arial"/>
          <w:sz w:val="17"/>
          <w:szCs w:val="17"/>
          <w:color w:val="auto"/>
        </w:rPr>
      </w:pPr>
    </w:p>
    <w:p>
      <w:pPr>
        <w:ind w:left="980" w:right="100" w:hanging="324"/>
        <w:spacing w:after="0" w:line="286"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signed definitive agreements to sell our Lottery and Sports Betting businesses, but there can be no assurance regarding the timing of completion of the Pending Divestitures, that the Pending Divestitures will yield additional value for our stockholders or that the Pending Divestitures will not adversely impact our business, financial results, results of operations, cash flows or stock price.</w:t>
      </w:r>
    </w:p>
    <w:p>
      <w:pPr>
        <w:spacing w:after="0" w:line="97" w:lineRule="exact"/>
        <w:rPr>
          <w:rFonts w:ascii="Arial" w:cs="Arial" w:eastAsia="Arial" w:hAnsi="Arial"/>
          <w:sz w:val="17"/>
          <w:szCs w:val="17"/>
          <w:color w:val="auto"/>
        </w:rPr>
      </w:pPr>
    </w:p>
    <w:p>
      <w:pPr>
        <w:ind w:left="980" w:right="34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successfully execute on our new strategy and impending rebranding initiative could negatively impact our results of operations, cash flows and financial information.</w:t>
      </w:r>
    </w:p>
    <w:p>
      <w:pPr>
        <w:spacing w:after="0" w:line="102"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results of operations may be negatively impacted by slow growth or declines in the replacement cycle of gaming machines and by the slow growth of new gaming jurisdictions or slow addition of casinos in existing jurisdictions.</w:t>
      </w:r>
    </w:p>
    <w:p>
      <w:pPr>
        <w:spacing w:after="0" w:line="89"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foreign operations which expose us to business and legal risks, including compliance with anti-corruption laws, and a portion of our revenue and expenses are denominated in British Pounds Sterling, Australian Dollars and Euros, which subjects us to foreign currency exchange rate fluctuations and other risks.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Risks Relating to our Capital Structure</w:t>
      </w:r>
    </w:p>
    <w:p>
      <w:pPr>
        <w:spacing w:after="0" w:line="16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level of indebtedness could adversely affect our results of operations, cash flows and financial condition.</w:t>
      </w:r>
    </w:p>
    <w:p>
      <w:pPr>
        <w:spacing w:after="0" w:line="144"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have sufficient cash flows from operating activities to service all of our indebtedness and other obligations, and may be forced to take other actions to satisfy our obligations, which may not be successful.</w:t>
      </w:r>
    </w:p>
    <w:p>
      <w:pPr>
        <w:spacing w:after="0" w:line="102" w:lineRule="exact"/>
        <w:rPr>
          <w:rFonts w:ascii="Arial" w:cs="Arial" w:eastAsia="Arial" w:hAnsi="Arial"/>
          <w:sz w:val="18"/>
          <w:szCs w:val="18"/>
          <w:color w:val="auto"/>
        </w:rPr>
      </w:pPr>
    </w:p>
    <w:p>
      <w:pPr>
        <w:ind w:left="980" w:right="80" w:hanging="324"/>
        <w:spacing w:after="0" w:line="286" w:lineRule="auto"/>
        <w:tabs>
          <w:tab w:leader="none" w:pos="9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Agreements governing our indebtedness impose certain restrictions that may affect our ability to operate our business. Failure to comply with any of these restrictions could result in the acceleration of the maturity of our indebtedness and require us to make payments on our indebtedness. Were this to occur, we would not have sufficient cash to pay our accelerated indebtedness.</w:t>
      </w:r>
    </w:p>
    <w:p>
      <w:pPr>
        <w:spacing w:after="0" w:line="97" w:lineRule="exact"/>
        <w:rPr>
          <w:rFonts w:ascii="Arial" w:cs="Arial" w:eastAsia="Arial" w:hAnsi="Arial"/>
          <w:sz w:val="17"/>
          <w:szCs w:val="17"/>
          <w:color w:val="auto"/>
        </w:rPr>
      </w:pPr>
    </w:p>
    <w:p>
      <w:pPr>
        <w:jc w:val="both"/>
        <w:ind w:left="980" w:hanging="324"/>
        <w:spacing w:after="0" w:line="263"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have sufficient cash flows from operating activities, cash on hand and available borrowings under our credit agreement to finance required capital expenditures under new contracts and meet our other cash needs or satisfy our minimum liquidity covenant. These obligations require a significant amount of cash, which would reduce our available liquidity.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u w:val="single" w:color="auto"/>
          <w:color w:val="auto"/>
        </w:rPr>
        <w:t>Risks Relating to our Business and our Industries</w:t>
      </w:r>
    </w:p>
    <w:p>
      <w:pPr>
        <w:spacing w:after="0" w:line="162" w:lineRule="exact"/>
        <w:rPr>
          <w:sz w:val="20"/>
          <w:szCs w:val="20"/>
          <w:color w:val="auto"/>
        </w:rPr>
      </w:pPr>
    </w:p>
    <w:p>
      <w:pPr>
        <w:ind w:left="324" w:right="460" w:hanging="324"/>
        <w:spacing w:after="0" w:line="277" w:lineRule="auto"/>
        <w:tabs>
          <w:tab w:leader="none" w:pos="3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operate in highly competitive industries, and our success depends on our ability to effectively compete with numerous domestic and foreign businesses.</w:t>
      </w:r>
    </w:p>
    <w:p>
      <w:pPr>
        <w:spacing w:after="0" w:line="89" w:lineRule="exact"/>
        <w:rPr>
          <w:rFonts w:ascii="Arial" w:cs="Arial" w:eastAsia="Arial" w:hAnsi="Arial"/>
          <w:sz w:val="18"/>
          <w:szCs w:val="18"/>
          <w:color w:val="auto"/>
        </w:rPr>
      </w:pPr>
    </w:p>
    <w:p>
      <w:pPr>
        <w:ind w:left="324" w:right="400" w:hanging="324"/>
        <w:spacing w:after="0" w:line="277" w:lineRule="auto"/>
        <w:tabs>
          <w:tab w:leader="none" w:pos="3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depends upon our ability to adapt to, and offer products and services that keep pace with, changing technology and evolving industry standards.</w:t>
      </w:r>
    </w:p>
    <w:p>
      <w:pPr>
        <w:spacing w:after="0" w:line="102" w:lineRule="exact"/>
        <w:rPr>
          <w:rFonts w:ascii="Arial" w:cs="Arial" w:eastAsia="Arial" w:hAnsi="Arial"/>
          <w:sz w:val="18"/>
          <w:szCs w:val="18"/>
          <w:color w:val="auto"/>
        </w:rPr>
      </w:pPr>
    </w:p>
    <w:p>
      <w:pPr>
        <w:ind w:left="324" w:right="240" w:hanging="324"/>
        <w:spacing w:after="0" w:line="277" w:lineRule="auto"/>
        <w:tabs>
          <w:tab w:leader="none" w:pos="3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invest significant resources in our R&amp;D efforts, which may not lead to successful or commercially viable new technologies, services or products.</w:t>
      </w:r>
    </w:p>
    <w:p>
      <w:pPr>
        <w:spacing w:after="0" w:line="102" w:lineRule="exact"/>
        <w:rPr>
          <w:rFonts w:ascii="Arial" w:cs="Arial" w:eastAsia="Arial" w:hAnsi="Arial"/>
          <w:sz w:val="18"/>
          <w:szCs w:val="18"/>
          <w:color w:val="auto"/>
        </w:rPr>
      </w:pPr>
    </w:p>
    <w:p>
      <w:pPr>
        <w:ind w:left="324" w:right="160" w:hanging="324"/>
        <w:spacing w:after="0" w:line="277" w:lineRule="auto"/>
        <w:tabs>
          <w:tab w:leader="none" w:pos="3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depends on our ability to produce new and innovative products and services that respond to customer demand and create strong and sustained player appeal.</w:t>
      </w:r>
    </w:p>
    <w:p>
      <w:pPr>
        <w:spacing w:after="0" w:line="89" w:lineRule="exact"/>
        <w:rPr>
          <w:rFonts w:ascii="Arial" w:cs="Arial" w:eastAsia="Arial" w:hAnsi="Arial"/>
          <w:sz w:val="18"/>
          <w:szCs w:val="18"/>
          <w:color w:val="auto"/>
        </w:rPr>
      </w:pPr>
    </w:p>
    <w:p>
      <w:pPr>
        <w:ind w:left="324" w:right="80" w:hanging="324"/>
        <w:spacing w:after="0" w:line="277" w:lineRule="auto"/>
        <w:tabs>
          <w:tab w:leader="none" w:pos="3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achieve some or all of the anticipated benefits of SciPlay being a standalone public company, which could negatively impact our business, financial condition and results of operation.</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Risks Relating to our Technology</w:t>
      </w:r>
    </w:p>
    <w:p>
      <w:pPr>
        <w:spacing w:after="0" w:line="162" w:lineRule="exact"/>
        <w:rPr>
          <w:sz w:val="20"/>
          <w:szCs w:val="20"/>
          <w:color w:val="auto"/>
        </w:rPr>
      </w:pPr>
    </w:p>
    <w:p>
      <w:pPr>
        <w:ind w:left="324" w:right="60" w:hanging="324"/>
        <w:spacing w:after="0" w:line="263" w:lineRule="auto"/>
        <w:tabs>
          <w:tab w:leader="none" w:pos="3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depends on the security and integrity of the systems and products we offer, and security breaches or other disruptions could compromise our information or the information of our customers and expose us to liability, which would cause our business and reputation to suffer.</w:t>
      </w:r>
    </w:p>
    <w:p>
      <w:pPr>
        <w:spacing w:after="0" w:line="102" w:lineRule="exact"/>
        <w:rPr>
          <w:rFonts w:ascii="Arial" w:cs="Arial" w:eastAsia="Arial" w:hAnsi="Arial"/>
          <w:sz w:val="18"/>
          <w:szCs w:val="18"/>
          <w:color w:val="auto"/>
        </w:rPr>
      </w:pPr>
    </w:p>
    <w:p>
      <w:pPr>
        <w:ind w:left="324" w:hanging="324"/>
        <w:spacing w:after="0"/>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depends on the protection of our intellectual property and proprietary information.</w:t>
      </w:r>
    </w:p>
    <w:p>
      <w:pPr>
        <w:spacing w:after="0" w:line="157" w:lineRule="exact"/>
        <w:rPr>
          <w:rFonts w:ascii="Arial" w:cs="Arial" w:eastAsia="Arial" w:hAnsi="Arial"/>
          <w:sz w:val="18"/>
          <w:szCs w:val="18"/>
          <w:color w:val="auto"/>
        </w:rPr>
      </w:pPr>
    </w:p>
    <w:p>
      <w:pPr>
        <w:ind w:left="324" w:hanging="324"/>
        <w:spacing w:after="0"/>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the ability to use the intellectual property rights of third parties.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Risks Relating to Legal, Political or Other Regulatory Factors</w:t>
      </w:r>
    </w:p>
    <w:p>
      <w:pPr>
        <w:spacing w:after="0" w:line="148" w:lineRule="exact"/>
        <w:rPr>
          <w:sz w:val="20"/>
          <w:szCs w:val="20"/>
          <w:color w:val="auto"/>
        </w:rPr>
      </w:pPr>
    </w:p>
    <w:p>
      <w:pPr>
        <w:ind w:left="324" w:right="480" w:hanging="324"/>
        <w:spacing w:after="0" w:line="277" w:lineRule="auto"/>
        <w:tabs>
          <w:tab w:leader="none" w:pos="3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and our industries are subject to strict government regulations that may limit our existing operations, have an adverse impact on our ability to grow and affect our license eligibility or expose us to fines or other penalties.</w:t>
      </w:r>
    </w:p>
    <w:p>
      <w:pPr>
        <w:spacing w:after="0" w:line="102"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interpretation and enforcement of certain gaming could adversely affect financial performance and reputation.</w:t>
      </w:r>
    </w:p>
    <w:p>
      <w:pPr>
        <w:spacing w:after="0" w:line="157" w:lineRule="exact"/>
        <w:rPr>
          <w:rFonts w:ascii="Arial" w:cs="Arial" w:eastAsia="Arial" w:hAnsi="Arial"/>
          <w:sz w:val="18"/>
          <w:szCs w:val="18"/>
          <w:color w:val="auto"/>
        </w:rPr>
      </w:pPr>
    </w:p>
    <w:p>
      <w:pPr>
        <w:ind w:left="324" w:right="380" w:hanging="324"/>
        <w:spacing w:after="0" w:line="277" w:lineRule="auto"/>
        <w:tabs>
          <w:tab w:leader="none" w:pos="3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capitalize on the expansion of internet or other forms of digital gaming or other trends and changes in the gaming, social and digital gaming industries, including due to laws and regulations governing these industries.</w:t>
      </w:r>
    </w:p>
    <w:p>
      <w:pPr>
        <w:spacing w:after="0" w:line="89" w:lineRule="exact"/>
        <w:rPr>
          <w:rFonts w:ascii="Arial" w:cs="Arial" w:eastAsia="Arial" w:hAnsi="Arial"/>
          <w:sz w:val="18"/>
          <w:szCs w:val="18"/>
          <w:color w:val="auto"/>
        </w:rPr>
      </w:pPr>
    </w:p>
    <w:p>
      <w:pPr>
        <w:ind w:left="324" w:right="540" w:hanging="324"/>
        <w:spacing w:after="0" w:line="277" w:lineRule="auto"/>
        <w:tabs>
          <w:tab w:leader="none" w:pos="3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laws or tax rulings, or the examination of our tax positions could materially affect our financial condition and results of operations.</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162" w:lineRule="exact"/>
        <w:rPr>
          <w:sz w:val="20"/>
          <w:szCs w:val="20"/>
          <w:color w:val="auto"/>
        </w:rPr>
      </w:pPr>
    </w:p>
    <w:p>
      <w:pPr>
        <w:ind w:left="324" w:hanging="324"/>
        <w:spacing w:after="0"/>
        <w:tabs>
          <w:tab w:leader="none" w:pos="324"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incurred, and may continue to incur, restructuring costs, the benefits of which are unpredictable and may not be achieved.</w:t>
      </w:r>
    </w:p>
    <w:p>
      <w:pPr>
        <w:spacing w:after="0" w:line="155" w:lineRule="exact"/>
        <w:rPr>
          <w:rFonts w:ascii="Arial" w:cs="Arial" w:eastAsia="Arial" w:hAnsi="Arial"/>
          <w:sz w:val="17"/>
          <w:szCs w:val="17"/>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incur additional impairment charges.</w:t>
      </w:r>
    </w:p>
    <w:p>
      <w:pPr>
        <w:spacing w:after="0" w:line="157"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depend on our key employees and rely on skilled employees with creative and technical backgrounds.</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Risks Relating to Discontinued Operations</w:t>
      </w:r>
    </w:p>
    <w:p>
      <w:pPr>
        <w:spacing w:after="0" w:line="162" w:lineRule="exact"/>
        <w:rPr>
          <w:sz w:val="20"/>
          <w:szCs w:val="20"/>
          <w:color w:val="auto"/>
        </w:rPr>
      </w:pPr>
    </w:p>
    <w:p>
      <w:pPr>
        <w:ind w:left="324" w:right="180" w:hanging="324"/>
        <w:spacing w:after="0" w:line="277" w:lineRule="auto"/>
        <w:tabs>
          <w:tab w:leader="none" w:pos="3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economic conditions, including those caused by the COVID-19 pandemic, have and could continue to significantly disrupt our Lottery and Sports Betting businesses.</w:t>
      </w:r>
    </w:p>
    <w:p>
      <w:pPr>
        <w:spacing w:after="0" w:line="102" w:lineRule="exact"/>
        <w:rPr>
          <w:rFonts w:ascii="Arial" w:cs="Arial" w:eastAsia="Arial" w:hAnsi="Arial"/>
          <w:sz w:val="18"/>
          <w:szCs w:val="18"/>
          <w:color w:val="auto"/>
        </w:rPr>
      </w:pPr>
    </w:p>
    <w:p>
      <w:pPr>
        <w:ind w:left="324" w:right="680" w:hanging="324"/>
        <w:spacing w:after="0" w:line="342" w:lineRule="auto"/>
        <w:tabs>
          <w:tab w:leader="none" w:pos="319" w:val="left"/>
        </w:tabs>
        <w:numPr>
          <w:ilvl w:val="0"/>
          <w:numId w:val="16"/>
        </w:numPr>
        <w:rPr>
          <w:rFonts w:ascii="Arial" w:cs="Arial" w:eastAsia="Arial" w:hAnsi="Arial"/>
          <w:sz w:val="16"/>
          <w:szCs w:val="16"/>
          <w:color w:val="auto"/>
        </w:rPr>
      </w:pPr>
      <w:r>
        <w:rPr>
          <w:rFonts w:ascii="Arial" w:cs="Arial" w:eastAsia="Arial" w:hAnsi="Arial"/>
          <w:sz w:val="16"/>
          <w:szCs w:val="16"/>
          <w:color w:val="auto"/>
        </w:rPr>
        <w:t>Within our Lottery business, we often enter into joint ventures or other business relationships in foreign jurisdictions, which presents additional risks, including not realizing the operating efficiencies, competitive advantages or financial results that we anticipate.</w:t>
      </w:r>
    </w:p>
    <w:p>
      <w:pPr>
        <w:spacing w:after="0" w:line="42" w:lineRule="exact"/>
        <w:rPr>
          <w:rFonts w:ascii="Arial" w:cs="Arial" w:eastAsia="Arial" w:hAnsi="Arial"/>
          <w:sz w:val="16"/>
          <w:szCs w:val="16"/>
          <w:color w:val="auto"/>
        </w:rPr>
      </w:pPr>
    </w:p>
    <w:p>
      <w:pPr>
        <w:ind w:left="324" w:hanging="324"/>
        <w:spacing w:after="0" w:line="277" w:lineRule="auto"/>
        <w:tabs>
          <w:tab w:leader="none" w:pos="3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Lottery business depends heavily on our ability to win, maintain and renew our long-term Lottery contracts, and we could lose substantial revenue if we are unable to renew such contracts on substantially similar terms or at all.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4"/>
          </w:cols>
          <w:pgMar w:left="976" w:top="891" w:right="359" w:bottom="1440" w:gutter="0" w:footer="0" w:header="0"/>
        </w:sectPr>
      </w:pPr>
    </w:p>
    <w:bookmarkStart w:id="20" w:name="page21"/>
    <w:bookmarkEnd w:id="20"/>
    <w:p>
      <w:pPr>
        <w:jc w:val="both"/>
        <w:ind w:left="980" w:right="300" w:hanging="324"/>
        <w:spacing w:after="0" w:line="342" w:lineRule="auto"/>
        <w:tabs>
          <w:tab w:leader="none" w:pos="9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success of our Lottery and Sports Betting businesses depends on our ability to produce new and innovative products and services that respond to customer demand and create strong and sustained player appeal. If we fail to do so, we could lose business to our competitors.</w:t>
      </w:r>
    </w:p>
    <w:p>
      <w:pPr>
        <w:spacing w:after="0" w:line="56" w:lineRule="exact"/>
        <w:rPr>
          <w:rFonts w:ascii="Arial" w:cs="Arial" w:eastAsia="Arial" w:hAnsi="Arial"/>
          <w:sz w:val="16"/>
          <w:szCs w:val="16"/>
          <w:color w:val="auto"/>
        </w:rPr>
      </w:pPr>
    </w:p>
    <w:p>
      <w:pPr>
        <w:ind w:left="980" w:right="1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Lottery business depends on suppliers and contract manufacturers, and any failure of these parties to meet our performance and quality standards or requirements could cause us to incur additional costs or lose customers.</w:t>
      </w:r>
    </w:p>
    <w:p>
      <w:pPr>
        <w:spacing w:after="0" w:line="8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You should carefully consider the following risks and other information in this Annual Report on Form 10-K in evaluating us and our common stock. The risk factors generally are separated into seven groups: risks relating to economic and current conditions impacting us and our business, risks relating to our capital structure, risks relating to our business and our industries, risks relating to our technology, risks relating to legal, political and other regulatory factors, general risk factors and risks relating to discontinued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Economic and Current Conditions Impacting us and our Business</w:t>
      </w:r>
    </w:p>
    <w:p>
      <w:pPr>
        <w:spacing w:after="0" w:line="1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The COVID-19 pandemic and similar health epidemics, contagious disease outbreaks and public perception thereof, continue to and, in the future, could significantly impact our operations and, should negative impacts such as significant player engagement develop, adversely affect and continue to adversely affect our operations, business, results of operations, cash flows and financial condition.</w:t>
      </w:r>
    </w:p>
    <w:p>
      <w:pPr>
        <w:spacing w:after="0" w:line="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outbreak of a novel strain of coronavirus, COVID-19, and public perception thereof, have contributed to consumer unease and may continue to lead to decreased discretionary spending and consumer travel, which have had, and will continue to have, a negative effect on us, especially in our Gaming business. Other future health epidemics or contagious disease outbreaks or variants of COVID-19, such as Delta and Omicron, could do the same. We cannot predict the ultimate effects that the outbreak of COVID-19, any resulting unfavorable social, political and economic conditions and decrease in discretionary spending or travel would have on us, as they would be expected to impact our customers, suppliers and business partners in varied ways in different communities. In our Gaming business, especially our Participation gaming, SciPlay business segment and iGaming business segment, our revenue is largely driven by players’ disposable incomes and level of gaming activity. The ongoing outbreak of COVID-19 has led to economic and financial uncertainty for many consumers and has reduced, and may continue to reduce or maintain at low amounts, the disposable incomes of players across all of our business units. This resulted in fewer patrons visiting casinos , whether land-based or online, and lower amounts spent per casino visit and may result in, reduced spend on online gambling activities, which negatively impact the results of operations, cash flows and financial condition of our casino customers, their ability to purchase or lease our products and services and revenues to our online casino partners and, therefore, our iGaming business revenue.</w:t>
      </w:r>
    </w:p>
    <w:p>
      <w:pPr>
        <w:spacing w:after="0" w:line="1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outbreak of COVID-19 and the resulting unfavorable economic conditions have also impacted, and could continue to impact, the ability of our customers to make timely payments to us. These unfavorable conditions have caused, and could continue to or may cause, some of our Gaming customers to temporarily close gaming venues or declare bankruptcy, which would adversely affect our business. In prior years, our Gaming business has expanded the use of extended payment term financing for gaming machine purchases, and we expect to continue to provide a higher level of extended payment term financing in this business until demand from our customers for such financings abates or our business model changes. These arrangements may increase our collection risk, and if customers are not able to pay us, whether as a result of financial difficulties, bankruptcy or otherwise, we may incur provisions for bad debt related to our inability to collect certain receivables. In addition, both extended payment term financing and operating leases result in a delay in our receipt of cash, which reduces our cash balance, liquidity and financial flexibility to respond to changing economic events. In 2020, we saw a negative impact on future demand of certain Gaming products as a result of COVID-19, which has resulted and, depending on the evolving nature of the pandemic, has the potential to later result in material inventory charges, which could increase our cost of products and decrease our gross margin. During the year ended December 31, 2020, we recorded $48 million in charges related to inventory in our Gaming business segment. COVID-19 has also caused significant volatility in both the credit and equity markets, having led to an economic downturn and having the continued potential to lead to further economic downturn. The difficulty or inability of our customers to generate or obtain adequate levels of capital to finance their ongoing operations may reduce their ability to purchase our products and services. Suppliers to our iGaming business may suffer financial difficulties and may not be able to offer their services and products, which could restrict the provision of our services and negatively impact our operations, business, results of operations, cash flows or financial condition. We did not have any material charges related to inventory during the year ended December 31, 2021.</w:t>
      </w:r>
    </w:p>
    <w:p>
      <w:pPr>
        <w:spacing w:after="0" w:line="10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Various gambling regulators have implemented additional responsible and safer gambling measures relating to our iGaming casino business including the implementation of bet limits, spin speeds, deposit limits and bonusing, which could negatively impact our operations, business, results of operations, cash flows or financial condition, particularly if additional gambling regulators follow suit.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1" w:name="page22"/>
    <w:bookmarkEnd w:id="21"/>
    <w:p>
      <w:pPr>
        <w:ind w:right="20" w:firstLine="648"/>
        <w:spacing w:after="0" w:line="268" w:lineRule="auto"/>
        <w:rPr>
          <w:sz w:val="20"/>
          <w:szCs w:val="20"/>
          <w:color w:val="auto"/>
        </w:rPr>
      </w:pPr>
      <w:r>
        <w:rPr>
          <w:rFonts w:ascii="Arial" w:cs="Arial" w:eastAsia="Arial" w:hAnsi="Arial"/>
          <w:sz w:val="17"/>
          <w:szCs w:val="17"/>
          <w:color w:val="auto"/>
        </w:rPr>
        <w:t xml:space="preserve">Furthermore, this outbreak of COVID-19 has caused, and may continue to cause us and certain of our suppliers, to implement temporary adjustment of work schemes allowing employees to work from home and collaborate remotely. In 2020, we took measures to monitor and reduce the impact of the outbreak, including putting in place a global crisis monitoring team, protocols for responding when employees are infected and enhanced cleaning procedures at all sites, but we cannot assure these will be sufficient to mitigate the risks faced by our and our partners’ work forces. We also took measures to reduce operating costs and ensure liquidity given the uncertain impact of COVID-19 on revenue, deferred all non-critical capital expenditures, and implemented a number of employee-related actions. However, we experienced and may still experience lower work efficiency and productivity, which may adversely affect our service quality, and our business operations were and could again be disrupted if and/or when any of our employees has been or is suspected of infection, since this has and may cause our employees to be quarantined and/or our offices to be temporarily shut down. We may continue to incur some costs for our operations, and our revenues could be impacted again. As a result of some of the above developments, our business, results of operations, cash flows or financial condition for the full fiscal year of 2020 were adversely affected by the COVID-19 outbreak. The extent to which this outbreak further impacts our results of operations, cash flows and financial condition will depend on future developments, which are highly uncertain and unpredictable, including new information which may emerge concerning the severity and duration of this outbreak and the actions taken by governmental authorities and us to contain it or treat its impact. For more information on the impact of COVID-19 pandemic on each of our business segments and measures taken by us in response to COVID-19, see section captioned </w:t>
      </w:r>
      <w:r>
        <w:rPr>
          <w:rFonts w:ascii="Arial" w:cs="Arial" w:eastAsia="Arial" w:hAnsi="Arial"/>
          <w:sz w:val="17"/>
          <w:szCs w:val="17"/>
          <w:i w:val="1"/>
          <w:iCs w:val="1"/>
          <w:color w:val="auto"/>
        </w:rPr>
        <w:t>“Business Overview – Highlights, including recent developments – Impacts of</w:t>
      </w:r>
      <w:r>
        <w:rPr>
          <w:rFonts w:ascii="Arial" w:cs="Arial" w:eastAsia="Arial" w:hAnsi="Arial"/>
          <w:sz w:val="17"/>
          <w:szCs w:val="17"/>
          <w:color w:val="auto"/>
        </w:rPr>
        <w:t xml:space="preserve"> </w:t>
      </w:r>
      <w:r>
        <w:rPr>
          <w:rFonts w:ascii="Arial" w:cs="Arial" w:eastAsia="Arial" w:hAnsi="Arial"/>
          <w:sz w:val="17"/>
          <w:szCs w:val="17"/>
          <w:i w:val="1"/>
          <w:iCs w:val="1"/>
          <w:color w:val="auto"/>
        </w:rPr>
        <w:t>COVID-19 on Business Operations, Financial Results and Liquidity</w:t>
      </w:r>
      <w:r>
        <w:rPr>
          <w:rFonts w:ascii="Arial" w:cs="Arial" w:eastAsia="Arial" w:hAnsi="Arial"/>
          <w:sz w:val="17"/>
          <w:szCs w:val="17"/>
          <w:color w:val="auto"/>
        </w:rPr>
        <w:t>” in</w:t>
      </w:r>
      <w:r>
        <w:rPr>
          <w:rFonts w:ascii="Arial" w:cs="Arial" w:eastAsia="Arial" w:hAnsi="Arial"/>
          <w:sz w:val="17"/>
          <w:szCs w:val="17"/>
          <w:i w:val="1"/>
          <w:iCs w:val="1"/>
          <w:color w:val="auto"/>
        </w:rPr>
        <w:t xml:space="preserve"> Item 7. </w:t>
      </w:r>
      <w:r>
        <w:rPr>
          <w:rFonts w:ascii="Arial" w:cs="Arial" w:eastAsia="Arial" w:hAnsi="Arial"/>
          <w:sz w:val="17"/>
          <w:szCs w:val="17"/>
          <w:color w:val="auto"/>
        </w:rPr>
        <w:t>“</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11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There can be no assurance regarding the timing of completion of the Pending Divestitures, that the Pending Divestitures will yield additional value for our stockholders or that the Pending Divestitures will not adversely impact our business, financial results, results of operations, cash flows or stock price.</w:t>
      </w:r>
    </w:p>
    <w:p>
      <w:pPr>
        <w:spacing w:after="0" w:line="10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June 29, 2021, we announced our intention to divest our Lottery and Sports Betting businesses. On September 27, 2021, we announced that we had entered into a definitive agreement to sell our Sports Betting business to Endeavor in a cash and stock transaction. Under the terms of the agreement, we will receive $1 billion in cash and approximately 7.6 million shares of Endeavor Class A common stock (valued at approximately $200 million as of the purchase agreement date), subject to customary purchase price closing adjustments. On October 27, 2021, we announced that we entered into a definitive agreement to sell our Lottery business to Brookfield for total consideration of $6.05 billion consisting of $5.825 billion in cash and an earn-out of up to $225 million based on the achievement of certain EBITDA targets in 2022 and 2023, subject to customary purchase price closing adjustments.</w:t>
      </w:r>
    </w:p>
    <w:p>
      <w:pPr>
        <w:spacing w:after="0" w:line="9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Pending Divestitures expose us to a number of risks and uncertainties, including continued diversion of management’s time to the processes; the incurrence of significant expenses associated with the review and pursuit of any transaction; increased difficulties in attracting, retaining or motivating key management personnel; the potential loss of key customers, suppliers, vendors and other key business partners; the need to provide transition services, which may result in additional costs and the diversion of resources and focus; a reduction of net investments in our international subsidiaries available for hedging, which could result in increased volatility in our operating results; and exposure to potential litigation. Any of these factors could disrupt our business and could have a material adverse effect on our business, financial condition, results of operations, cash flows or stock price.</w:t>
      </w:r>
    </w:p>
    <w:p>
      <w:pPr>
        <w:spacing w:after="0" w:line="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Additionally, we may not be able to realize the anticipated operational, strategic or financial benefits from the Pending Divestitures including (i) our ability to transform and execute on our strategic vision to become the leading cross-platform global game company and (ii) any repayment, refinancing and/or restructuring of existing indebtedness on terms acceptable to us with net proceeds of the Pending Divestitures. There can be no assurance that any of these transactions and anticipated benefits will provide greater value to our stockholders than that reflected in our current stock price. The proposed transactions and anticipated benefits are dependent upon a number of factors that may be beyond our control, including among other factors, market conditions (including the impact of the COVID-19 pandemic), industry trends, regulatory developments, litigation and the interest of third parties in these businesses. See the section below captioned “Risks Relating to Discontinued Operations” for risk factors relating to our held-for-sale Lottery and Sports Betting businesses.</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Failure to successfully execute on our new strategy and impending rebranding initiative could negatively impact our results of operations, cash flows and financial information.</w:t>
      </w:r>
    </w:p>
    <w:p>
      <w:pPr>
        <w:spacing w:after="0" w:line="103"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 xml:space="preserve">We are executing a new strategy in becoming the leading, cross-platform global game company (more fully described in in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above). Jointly with our new strategy, we also are in the process of rebranding our Company and operate under a new name and logo. Successful execution on our strategy may present unexpected challenges and uncertainties. We may incur integration and optimization expenses to execute and facilitate our strategies, including costs necessary to complete the Pending Divestitures.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2" w:name="page23"/>
    <w:bookmarkEnd w:id="22"/>
    <w:p>
      <w:pPr>
        <w:ind w:right="60" w:firstLine="648"/>
        <w:spacing w:after="0" w:line="293" w:lineRule="auto"/>
        <w:rPr>
          <w:sz w:val="20"/>
          <w:szCs w:val="20"/>
          <w:color w:val="auto"/>
        </w:rPr>
      </w:pPr>
      <w:r>
        <w:rPr>
          <w:rFonts w:ascii="Arial" w:cs="Arial" w:eastAsia="Arial" w:hAnsi="Arial"/>
          <w:sz w:val="16"/>
          <w:szCs w:val="16"/>
          <w:color w:val="auto"/>
        </w:rPr>
        <w:t>Our new business strategy is to invest in great content and franchises across land-based, digital and mobile platforms, expand in high-growth markets, enable a seamless player experience with innovative platforms, deleverage and maximize cash flow to fuel investment and be driven by high-performing talent and culture. Our strategy is focused upon growth including growing our digital revenue mix and pursuit of acquisitions supportive of our strategic goals. For additional information on risks related to our acquisition strategy, see the risk factor captioned “Our inability to complete acquisitions and integrate those businesses successfully could limit our growth or disrupt our plans and operations.” If we are not successful in accomplishing each component of our new business strategy, we may suffer negative impacts on our results of operations, cash flows and financial condition.</w:t>
      </w:r>
    </w:p>
    <w:p>
      <w:pPr>
        <w:spacing w:after="0" w:line="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Additionally, the success of our new brand and name will be integral in allowing our new strategy and business focus to be successful. Developing and maintaining awareness of our Company and our brand is important to attracting new and existing customers to our products. The importance of brand recognition will increase as competition in our industry intensifies. Successful promotion of our brand will depend on the effectiveness of our marketing efforts. Although we plan to invest substantial resources to promote our brand, there is no guarantee that we will be able to achieve or maintain brand name recognition or status under the new brand that is comparable to the recognition and status previously enjoyed under our former brand. Even if our brand recognition and loyalty increases, this may not result in increased revenue and profitability. For these reasons, our rebranding initiative may not produce the benefits expected, could adversely affect our ability to retain and attract customers, and may have a material adverse effect on our results of operations, cash flows and financial condition.</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future results of operations may be negatively impacted by slow growth or declines in the replacement cycle of gaming machines and by the slow growth of new gaming jurisdictions or slow addition of casinos in existing jurisdictions.</w:t>
      </w:r>
    </w:p>
    <w:p>
      <w:pPr>
        <w:spacing w:after="0" w:line="10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Demand for our Gaming products and services is driven by the replacement of existing gaming machines in existing casinos, the establishment of new jurisdictions, the opening of additional casinos in existing jurisdictions and the expansion of existing casinos. Slow growth or declines in the replacement cycle of gaming machines have reduced and will continue to reduce the demand for our products and negatively impact our results of operations, cash flows and financial condition, and have resulted and could continue to result in material inventory charges, which could increase our cost of products and decrease our gross margin. We recorded charges related to inventory of $48 million in the year ended December 31, 2020 in our Gaming business segment primarily due to the COVID-19 disruption impacting future demand combined with a reassessment of our Gaming product strategy. We did not have any material charges related to inventory during the year ended December 31, 2021.</w:t>
      </w:r>
    </w:p>
    <w:p>
      <w:pPr>
        <w:spacing w:after="0" w:line="9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opening of new casinos, expansion of existing casinos and replacement of existing gaming machines in existing casinos fluctuate with demand, economic conditions, regulatory approvals and the availability of financing. Originally these had been negatively affected by the ongoing COVID-19 pandemic. While those negative effects have abated, there is still potential for negative effects if the pandemic worsens. In addition, the expansion of gaming into new jurisdictions can be a protracted process. In the U.S., U.K. and other international jurisdictions in which we operate, governments usually require a public referendum and legislative action before establishing or expanding gaming. Any of these factors could delay, restrict or prohibit the expansion of our business and negatively impact our results of operations, cash flows and financial condition.</w:t>
      </w:r>
    </w:p>
    <w:p>
      <w:pPr>
        <w:spacing w:after="0" w:line="9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have foreign operations which expose us to business and legal risks, including compliance with anti-corruption laws, and a portion of our revenue and expenses are denominated in British Pounds Sterling, Australian Dollars and Euros, which subjects us to foreign currency exchange rate fluctuations and other risks.</w:t>
      </w:r>
    </w:p>
    <w:p>
      <w:pPr>
        <w:spacing w:after="0" w:line="11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are a global business and derive a substantial portion of our revenue from operations outside of the U.S. For the year ended December 31, 2021, we derived approximately 28% of our revenue from sales to customers outside of the U.S.</w:t>
      </w:r>
    </w:p>
    <w:p>
      <w:pPr>
        <w:spacing w:after="0" w:line="10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consolidated financial results are affected by currency exchange rate fluctuations. We are exposed to currency exchange rate fluctuations because portions of our revenue and expenses are denominated in currencies other than the U.S. dollar, particularly the British Pound Sterling, the Australian dollar and the Euro. Such fluctuations may arise from inflation, government debt or other causes. Exchange rate fluctuations have in the past adversely affected our results of operations, cash flows and financial condition and may adversely affect our results of operations, cash flows and financial condition and the value of our assets outside the U.S. in the future. If a foreign currency is devalued in a jurisdiction in which we are paid in such currency, we may require our customers to pay higher amounts for our products, which they may be unable or unwilling to pay. In addition, a portion of our debt is denominated in Euros, and the re-introduction of individual currencies in one or more member states of the EU or, in extreme circumstances, the possible dissolution of the Euro entirely, could adversely affect the value of our Euro-denominated debt, and the treatment of debt obligations previously denominated in Euros would be uncertain. This uncertainty could have a material adverse effect on our foreign operations, including on our Euro-denominated debt. In addition, if such events occurred, the financial and capital markets within and outside Europe could constrict and negatively impact our ability to finance our business. Such events could also cause a substantial reduction in consumer confidence and spending that could negatively impact our customers and our business.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3" w:name="page24"/>
    <w:bookmarkEnd w:id="23"/>
    <w:p>
      <w:pPr>
        <w:ind w:left="660"/>
        <w:spacing w:after="0"/>
        <w:rPr>
          <w:sz w:val="20"/>
          <w:szCs w:val="20"/>
          <w:color w:val="auto"/>
        </w:rPr>
      </w:pPr>
      <w:r>
        <w:rPr>
          <w:rFonts w:ascii="Arial" w:cs="Arial" w:eastAsia="Arial" w:hAnsi="Arial"/>
          <w:sz w:val="17"/>
          <w:szCs w:val="17"/>
          <w:color w:val="auto"/>
        </w:rPr>
        <w:t>Our operations in foreign jurisdictions subject us to additional risks customarily associated with such operations, including: the complexity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foreign laws, regulations and markets; the uncertainty of enforcement of remedies in foreign jurisdictions; the impact of foreign labor laws and disputes;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ability to attract and retain key personnel in foreign jurisdictions; the economic, tax and regulatory policies of local governments; compliance with</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applicable anti-money laundering, anti-bribery and anti</w:t>
      </w:r>
      <w:r>
        <w:rPr>
          <w:rFonts w:ascii="MS PGothic" w:cs="MS PGothic" w:eastAsia="MS PGothic" w:hAnsi="MS PGothic"/>
          <w:sz w:val="17"/>
          <w:szCs w:val="17"/>
          <w:color w:val="auto"/>
        </w:rPr>
        <w:t>‑</w:t>
      </w:r>
      <w:r>
        <w:rPr>
          <w:rFonts w:ascii="Arial" w:cs="Arial" w:eastAsia="Arial" w:hAnsi="Arial"/>
          <w:sz w:val="17"/>
          <w:szCs w:val="17"/>
          <w:color w:val="auto"/>
        </w:rPr>
        <w:t>corruption laws, including the Foreign Corrupt Practices Act, U.K. Bribery Act and other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anti</w:t>
      </w:r>
      <w:r>
        <w:rPr>
          <w:rFonts w:ascii="MS PGothic" w:cs="MS PGothic" w:eastAsia="MS PGothic" w:hAnsi="MS PGothic"/>
          <w:sz w:val="16"/>
          <w:szCs w:val="16"/>
          <w:color w:val="auto"/>
        </w:rPr>
        <w:t>‑</w:t>
      </w:r>
      <w:r>
        <w:rPr>
          <w:rFonts w:ascii="Arial" w:cs="Arial" w:eastAsia="Arial" w:hAnsi="Arial"/>
          <w:sz w:val="16"/>
          <w:szCs w:val="16"/>
          <w:color w:val="auto"/>
        </w:rPr>
        <w:t>corruption laws that generally prohibit us and our agents from offering, promising, authorizing or making improper payments to foreign government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officials for the purpose of obtaining or retaining business; compliance with applicable sanctions regimes regarding dealings with certain persons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countries; import and export restrictions and other trade barriers, including imposition of tariffs; and increased trade tensions between countries or political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economic unions. Certain of these laws also contain provisions that require accurate record keeping and further require companies to devise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maintain an adequate system of internal accounting controls. Although we have policies and controls in place that are designed to ensure compliance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laws, if those controls are ineffective or an employee or intermediary fails to comply with the applicable regulations, we may be subject to criminal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civil sanctions and other penalties. Any such violation could disrupt our business and adversely affect our reputation, results of operations, cash flows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financial condition.</w:t>
      </w:r>
    </w:p>
    <w:p>
      <w:pPr>
        <w:spacing w:after="0" w:line="143"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addition, our international business operations could be interrupted and negatively affected by terrorist activity, political unrest or other economic or political uncertainties. Further, U.S. and foreign jurisdictions could impose tariffs, quotas, trade barriers and other similar restrictions on our international sales.</w:t>
      </w:r>
    </w:p>
    <w:p>
      <w:pPr>
        <w:spacing w:after="0" w:line="103"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For example, in 2018 the U.S. announced certain trade actions under Section 232, and Section 301 of the Trade Expansion Act of 1962, including tariff increases on several imported products. These U.S. tariffs, along with other U.S. trade actions, have triggered retaliatory actions by certain affected countries, such as the People’s Republic of China (“PRC”). In January 2020, the United States and the PRC signed a limited trade deal in which the PRC agreed to purchase more products from the U.S. in exchange for a reduction in planned and existing tariffs. Given the uncertainty regarding the scope and duration of these trade actions by the U.S. and other countries, and trade negotiations between the U.S. and the PRC, we cannot predict whether, or to what extent, tariffs and other trade restrictions may be imposed on or otherwise become applicable to our product offerings or supply chain, and the impact of these trade actions on our business remains uncertain. While tariffs and other trade actions by the U.S. and other countries have not yet had a significant impact on our business and we are implementing measures to limit the impact of tariffs on our cost structure, we cannot predict further developments. Tariffs and other trade actions could result in increases in our cost of doing business and in the sale prices of certain of our products and could negatively impact demand for our products, which could materially adversely affect our results of operations, cash flows and financial conditions.</w:t>
      </w:r>
    </w:p>
    <w:p>
      <w:pPr>
        <w:spacing w:after="0" w:line="101" w:lineRule="exact"/>
        <w:rPr>
          <w:sz w:val="20"/>
          <w:szCs w:val="20"/>
          <w:color w:val="auto"/>
        </w:rPr>
      </w:pPr>
    </w:p>
    <w:p>
      <w:pPr>
        <w:ind w:right="120" w:firstLine="648"/>
        <w:spacing w:after="0" w:line="220" w:lineRule="exact"/>
        <w:rPr>
          <w:sz w:val="20"/>
          <w:szCs w:val="20"/>
          <w:color w:val="auto"/>
        </w:rPr>
      </w:pPr>
      <w:r>
        <w:rPr>
          <w:rFonts w:ascii="Arial" w:cs="Arial" w:eastAsia="Arial" w:hAnsi="Arial"/>
          <w:sz w:val="18"/>
          <w:szCs w:val="18"/>
          <w:color w:val="auto"/>
        </w:rPr>
        <w:t>In addition, our ability to expand successfully in foreign jurisdictions involves other risks, including difficulties in integrating foreign operations, risks associated with entering jurisdictions in which we may have little experience and the day</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day management of a growing and increasingly geographically diverse company.</w:t>
      </w:r>
    </w:p>
    <w:p>
      <w:pPr>
        <w:spacing w:after="0" w:line="13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may not realize the operating efficiencies, competitive advantages or financial results that we anticipate from our investments in foreign jurisdictions and our failure to effectively manage the risks associated with our operations in foreign jurisdictions could have a material adverse effect on our business prospects, results of operations, cash flows and financial condition.</w:t>
      </w:r>
    </w:p>
    <w:p>
      <w:pPr>
        <w:spacing w:after="0" w:line="10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Unfavorable U.S. and international economic conditions, or decreased discretionary spending or travel due to other factors such as terrorist activity or threat thereof, civil unrest, health epidemics, contagious disease outbreaks, or public perception thereof or other economic or political uncertainties, have adversely affected our business, results of operations, cash flows and financial condition.</w:t>
      </w:r>
    </w:p>
    <w:p>
      <w:pPr>
        <w:spacing w:after="0" w:line="9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Unfavorable economic conditions, including recession, economic slowdown, decreased liquidity in the financial markets, decreased availability of credit, relatively high rates of unemployment and inflation, have had, and may continue to have, a negative effect on our business. Socio-political factors such as terrorist activity or threat thereof, civil unrest or other economic or political uncertainties, or health epidemics, contagious disease outbreaks, or public perception thereof that contribute to consumer unease may also result in decreased discretionary spending or travel by consumers and have a negative effect on our businesses. We cannot fully predict the effects that unfavorable social, political and economic conditions, economic uncertainties and public health crises and any resulting decrease in discretionary spending or travel would have on us, as they would be expected to impact our customers, suppliers and business partners in varied ways. For a description of the impact of the COVID-19 pandemic and other public health crises, see the risk factor captioned “The COVID-19 pandemic and similar health epidemics, contagious disease outbreaks and public perception thereof, continue to and, in the future, could significantly impact our operations and, should negative impacts such as significant player engagement develop, continue to adversely affect our operations, business, results of operations, cash flows and financial condition.” In our Gaming business, especially our Participation gaming business, our revenue is largely driven by players’ disposable incomes and level of gaming activity which may be reduced by unfavorable economic conditions. A further or extended decline in disposable income may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4" w:name="page25"/>
    <w:bookmarkEnd w:id="24"/>
    <w:p>
      <w:pPr>
        <w:ind w:right="60"/>
        <w:spacing w:after="0" w:line="255" w:lineRule="auto"/>
        <w:rPr>
          <w:sz w:val="20"/>
          <w:szCs w:val="20"/>
          <w:color w:val="auto"/>
        </w:rPr>
      </w:pPr>
      <w:r>
        <w:rPr>
          <w:rFonts w:ascii="Arial" w:cs="Arial" w:eastAsia="Arial" w:hAnsi="Arial"/>
          <w:sz w:val="18"/>
          <w:szCs w:val="18"/>
          <w:color w:val="auto"/>
        </w:rPr>
        <w:t>result in reduced play levels on our Participation gaming machines, causing our results of operations and cash flows from these products to decline. Additionally, higher travel and other costs may adversely affect the number of players visiting our customers’ casinos. Adverse changes in discretionary consumer spending or consumer preferences, resulting in fewer patrons visiting casinos and reduced play levels, could also be driven by factors such as an unstable job market, outbreaks of contagious diseases or public perception thereof or fears of terrorism or other violence. A decline in play levels has negatively impacted the results of operations, cash flows and financial condition of our casino customers and their ability to purchase or lease our products and services.</w:t>
      </w:r>
    </w:p>
    <w:p>
      <w:pPr>
        <w:spacing w:after="0" w:line="1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Unfavorable economic conditions have also impacted, and could continue to impact, the ability of our Gaming customers to make timely payments to us. These conditions, and the concentration of certain outstanding Gaming segment receivables, may increase our collection risks and materially impact our estimate of receivables allowance for credit losses. We increased our allowance for credit losses by $56 million for the year ended December 31, 2020. In addition, unfavorable economic conditions have caused, and may cause in the future, some of our Gaming customers to temporarily close gaming venues or ultimately declare bankruptcy, which adversely affects our business. Consistent with other suppliers in the gaming industry, our Gaming business has recently expanded the use of extended payment term financing for gaming machine purchases, and we expect to continue to provide a higher level of extended payment term financing in this business until demand from our customers for such financings abates or our business model changes. These financing arrangements may increase our collection risk, and if customers are not able to pay us, whether as a result of financial difficulties, bankruptcy or otherwise, we may incur provisions for bad debt related to our inability to collect certain receivables. In addition, both extended payment term financing and operating leases result in a delay in our receipt of cash, which reduces our cash balance, liquidity and financial flexibility to respond to changing economic events. Unfavorable economic conditions may also result in volatility in the credit and equity markets. The difficulty or inability of our customers to generate or obtain adequate levels of capital to finance their ongoing operations may reduce their ability to purchase our products and services. Refer to Note 7 for international locations with significant concentrations of our receivables with terms longer than one year.</w:t>
      </w:r>
    </w:p>
    <w:p>
      <w:pPr>
        <w:spacing w:after="0" w:line="9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our iGaming business based on a Participation model, our revenue is largely driven by disposable incomes and level of player activity. Unfavorable economic conditions have previously reduced and may later reduce the disposable incomes of end users consuming the services, which could negatively impact revenues for the iGaming business. Suppliers to our iGaming business may suffer financial difficulties and may not be able to offer their services and products, which could restrict the provision of our services and negatively impact our revenues. Various gambling regulators have implemented additional responsible and safer gambling measures relating to our iGaming casino business as a result of the COVID-19 outbreak, including the implementation of bet limits, spin speeds, deposit limits and bonusing, which could negatively impact on our revenues, particularly if additional gambling regulators follow suit.</w:t>
      </w:r>
    </w:p>
    <w:p>
      <w:pPr>
        <w:spacing w:after="0" w:line="127"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There are ongoing concerns regarding the debt burden of certain countries, particularly in Europe and South America, and their ability to meet their future financial obligations, which have resulted in downgrades of the debt ratings for these countries. We currently operate in, and our growth strategy may involve pursuing expansion or business opportunities in certain of these jurisdictions, such as Argentina, Brazil, Greece, Italy, Puerto Rico, Turkey and Ukraine among others. These sovereign debt concerns, whether real or perceived, could result in a recession, prolonged economic slowdown, or otherwise negatively impact the general health and stability of the economies in these countries or more broadly. In more severe cases, this could result in a limitation on the availability or flow of capital, thereby restricting our liquidity and negatively impacting our results of operations, cash flows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Capital Structure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level of indebtedness could adversely affect our results of operations, cash flows and financial condition.</w:t>
      </w:r>
    </w:p>
    <w:p>
      <w:pPr>
        <w:spacing w:after="0" w:line="15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are a highly leveraged company. As of December 31, 2021, we had total indebtedness of $8,690 million, net of unamortized discounts and deferred financing costs, consisting primarily of borrowings under our credit agreement, and Senior Notes. As of December 31, 2021, our total available liquidity (excluding our SciPlay business segment, but including cash and cash equivalents totaling $44 million of the businesses held for sale) was $903 million, which included $638 million of undrawn availability under SGI’s revolving credit facility.</w:t>
      </w:r>
    </w:p>
    <w:p>
      <w:pPr>
        <w:spacing w:after="0" w:line="11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level of indebtedness could affect our ability to obtain financing or refinance existing indebtedness; require us to dedicate a significant portion of our cash flow from operations to interest and principal payments on our indebtedness, thereby reducing the availability of cash flow to fund working capital, capital expenditures and other general corporate purposes; increase our vulnerability to adverse general economic, industry or competitive developments or conditions; and limit our flexibility in planning for, or reacting to, changes in our businesses and the industries in which we operate or in pursuing our strategic objectives. In addition, we are exposed to the risk of higher interest rates as a significant portion of our borrowings are at variable rates of interest. If interest rates increase, the interest payment obligations under our non-hedged variable rate indebtedness would increase even if the amount borrowed remained the same, and our results of operations, cash flows and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5" w:name="page26"/>
    <w:bookmarkEnd w:id="25"/>
    <w:p>
      <w:pPr>
        <w:ind w:right="280"/>
        <w:spacing w:after="0" w:line="263" w:lineRule="auto"/>
        <w:rPr>
          <w:sz w:val="20"/>
          <w:szCs w:val="20"/>
          <w:color w:val="auto"/>
        </w:rPr>
      </w:pPr>
      <w:r>
        <w:rPr>
          <w:rFonts w:ascii="Arial" w:cs="Arial" w:eastAsia="Arial" w:hAnsi="Arial"/>
          <w:sz w:val="18"/>
          <w:szCs w:val="18"/>
          <w:color w:val="auto"/>
        </w:rPr>
        <w:t>financial condition would be negatively impacted. All of these factors became more severe given the unfavorable economic conditions and uncertainties and decrease in discretionary spending and consumer travel as a result of the outbreak of COVID-19 and could place us at a competitive disadvantage compared to competitors that may have less debt than we do.</w:t>
      </w:r>
    </w:p>
    <w:p>
      <w:pPr>
        <w:spacing w:after="0" w:line="1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Certain of our variable rate debt, including under certain of our debt agreements and the SciPlay Revolver, relies on LIBOR as a benchmark for establishing the interest rate. The U.K. Financial Conduct Authority mostly phased out LIBOR by the end of 2021, extending to the end of June 2023 for U.S. dollar LIBOR only. In addition, other regulators have suggested reforming or replacing other benchmark rates. In December 2021, the U.S. House of Representatives passed the Adjustable Interest Rate (LIBOR) Act of 2021 that substantially followed legislation proposed by the Alternative Reference Rates Committee of the Federal Reserve Board and the Federal Reserve Bank of New York establishing the SOFR as a commercially reasonable substitute for and commercially substantial equivalent to LIBOR. The discontinuation, reform or replacement of LIBOR, such as SOFR, or any other benchmark rates may have an unpredictable impact on contractual mechanics in the credit markets or cause disruption to the broader financial markets. Uncertainty as to the nature of such potential discontinuation, reform or replacement may negatively impact the cost of our variable rate debt. We may in the future pursue additional amendments to the agreements underlying this debt to provide for a transition mechanism or other reference rate in anticipation of LIBOR’s discontinuation, but we may not be able to reach agreement with our lenders on any such amendments. As a result, additional financing to replace our LIBOR-based debt may be unavailable, more expensive or restricted by the terms of our outstanding indebtedness.</w:t>
      </w:r>
    </w:p>
    <w:p>
      <w:pPr>
        <w:spacing w:after="0" w:line="9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flows from operating activities, to service all of our indebtedness and other obligations, and may be forced to take other actions to satisfy our obligations, which may not be successful.</w:t>
      </w:r>
    </w:p>
    <w:p>
      <w:pPr>
        <w:spacing w:after="0" w:line="103"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Our ability to make payments on and to refinance our indebtedness and other obligations depends on our results of operations, cash flows and financial condition, which in turn are subject to general economic, financial, competitive, legislative, regulatory and other factors that are beyond our control. We may not be able to maintain a level of cash flows from operating activities sufficient to permit us to pay the principal, premium, if any, and interest on our indebtedness and our other obligations. Our results of operations and general economic and financial conditions have been negatively affected by the ongoing COVID-19 pandemic, which made it more difficult for us to meet our debt obligations from cash flows from operating activities.</w:t>
      </w:r>
    </w:p>
    <w:p>
      <w:pPr>
        <w:spacing w:after="0" w:line="9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are required to make scheduled payments of principal on the term loans borrowed under our credit agreement, and our credit agreement requires that a portion of our excess cash flow be applied to prepay amounts borrowed under our credit agreement. We are also required to repay the entire principal amount of our Senior Notes at their maturity (see Note 15). We have also, from time to time, repurchased or otherwise retired or refinanced our debt, through our subsidiaries or otherwise and may continue to do so in the future. Such activities, if any, will depend on prevailing market conditions, contractual restrictions and other factors, and the amounts involved may or may not be material. If we need to refinance all or part of our indebtedness at or before maturity, we cannot assure that we will be able to obtain new financing or to refinance any of our indebtedness on commercially reasonable terms or at all, especially uncertainties as a result of the COVID-19 pandemic.</w:t>
      </w:r>
    </w:p>
    <w:p>
      <w:pPr>
        <w:spacing w:after="0" w:line="9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lenders, including the lenders participating in our revolving credit facility under our credit agreement or in the SciPlay Revolver, may become insolvent or tighten their lending standards, which could make it more difficult for us to borrow under our revolving credit facility or the SciPlay Revolver or to obtain other financing on favorable terms or at all. Our results of operations, cash flows and financial condition would be adversely affected if we were unable to draw funds under our revolving credit facility or the SciPlay Revolver because of a lender default or to obtain other cost-effective financing. Any default by a lender in its obligation to fund its commitment under our revolving credit facility or the SciPlay Revolver (or its participation in letters of credit) could limit our liquidity to the extent of the defaulting lender’s commitment. If we are unable to generate sufficient cash flow in the future to meet our commitments, we will be required to adopt one or more alternatives, such as refinancing or restructuring our indebtedness, selling material assets or operations or seeking to raise additional debt or equity capital. We cannot assure that any of these actions could be completed on a timely basis or on satisfactory terms or at all, or that these actions would enable us to continue to satisfy our capital requirements. Moreover, our existing debt agreements contain, and our future debt agreements may contain, restrictive covenants that may prohibit us from adopting these alternatives. Our failure to comply with these covenants could result in an event of default which, if not cured or waived, could result in the acceleration of all of our debt.</w:t>
      </w:r>
    </w:p>
    <w:p>
      <w:pPr>
        <w:spacing w:after="0" w:line="10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Agreements governing our indebtedness impose certain restrictions that may affect our ability to operate our business. Failure to comply with any of these restrictions could result in the acceleration of the maturity of our indebtedness and require us to make payments on our indebtedness. Were this to occur, we would not have sufficient cash to pay our accelerated indebtedness.</w:t>
      </w:r>
    </w:p>
    <w:p>
      <w:pPr>
        <w:spacing w:after="0" w:line="9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Agreements governing our indebtedness, including our credit agreement and the SciPlay Revolver and the indentures governing our Senior Notes, impose, and future financing agreements are likely to impose, operating and financial restrictions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right="40"/>
        <w:spacing w:after="0" w:line="277" w:lineRule="auto"/>
        <w:rPr>
          <w:sz w:val="20"/>
          <w:szCs w:val="20"/>
          <w:color w:val="auto"/>
        </w:rPr>
      </w:pPr>
      <w:r>
        <w:rPr>
          <w:rFonts w:ascii="Arial" w:cs="Arial" w:eastAsia="Arial" w:hAnsi="Arial"/>
          <w:sz w:val="18"/>
          <w:szCs w:val="18"/>
          <w:color w:val="auto"/>
        </w:rPr>
        <w:t>on our activities that may adversely affect our ability to finance future operations or capital needs or to engage in new business activities. Subject to certain exceptions, our credit facilities and/or indentures restrict our ability to, among other things:</w:t>
      </w:r>
    </w:p>
    <w:p>
      <w:pPr>
        <w:spacing w:after="0" w:line="10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declare dividends or redeem or repurchase capital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prepay, redeem or purchase other debt;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loans, guarantees, acquisitions and investments;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sale and leaseback transactions;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amend or otherwise alter debt and other material agreements;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mergers, acquisitions or asset sales;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5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arrangements that would prohibit us from granting liens or restrict our subsidiaries’ ability to pay dividends, make loans or transfer assets;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alter the business we conduct.</w:t>
      </w:r>
    </w:p>
    <w:p>
      <w:pPr>
        <w:spacing w:after="0" w:line="158"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In addition, prior to the Credit Agreement Amendment and the Credit Agreement Extension Agreement, the SGI credit agreement contained a covenant that was tested at the end of each fiscal quarter and required us to not exceed a maximum consolidated net first lien leverage ratio of 5.00x Consolidated EBITDA (as defined in the credit agreement), with this ratio stepping down to 4.75x beginning with the fiscal quarter ended December 31, 2020 and 4.50x beginning with the fiscal quarter ending December 31, 2021. We amended the consolidated net first lien leverage ratio covenant in the credit agreement with the requisite lenders under SGI’s revolving credit facility on May 8, 2020 (the “Credit Agreement Amendment”) and subsequently extended the Credit Agreement Amendment on October 8, 2020 (the “Credit Agreement Extension Amendment”) to implement a financial covenant relief period, which extends the relief period through the first quarter of 2022. As a result, (a) SGI is not required to maintain compliance with the consolidated net first lien leverage ratio covenant during the Covenant Relief Period, (b) the step down of the consolidated net first lien leverage ratio covenant following the Covenant Relief Period was revised, (c) SGI must maintain liquidity (excluding SciPlay) of at least $275 million during the Covenant Relief Period, (d) SGI is restricted in its ability to further incur indebtedness and liens, make restricted payments and investments and prepay junior indebtedness during the Covenant Relief Period, subject to certain exceptions and further subject, in some instances, to maintaining minimum liquidity (excluding SciPlay) of at least $400 million and (e) a LIBOR floor of 0.500% was established on borrowings under the revolving credit facility during the Covenant Relief Period.</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revised consolidated net first lien leverage ratio and Consolidated EBITDA: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Revised Consolidated Net First Lien Leverage Ratio Covenant Calculation</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3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76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Revised Consolidated Net First Lien Leverage</w:t>
            </w:r>
          </w:p>
        </w:tc>
        <w:tc>
          <w:tcPr>
            <w:tcW w:w="3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Period ending</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Ratio Covenant</w:t>
            </w:r>
          </w:p>
        </w:tc>
        <w:tc>
          <w:tcPr>
            <w:tcW w:w="3680" w:type="dxa"/>
            <w:vAlign w:val="bottom"/>
          </w:tcPr>
          <w:p>
            <w:pPr>
              <w:jc w:val="center"/>
              <w:spacing w:after="0" w:line="247" w:lineRule="exact"/>
              <w:rPr>
                <w:sz w:val="20"/>
                <w:szCs w:val="20"/>
                <w:color w:val="auto"/>
              </w:rPr>
            </w:pPr>
            <w:r>
              <w:rPr>
                <w:rFonts w:ascii="Arial" w:cs="Arial" w:eastAsia="Arial" w:hAnsi="Arial"/>
                <w:sz w:val="18"/>
                <w:szCs w:val="18"/>
                <w:b w:val="1"/>
                <w:bCs w:val="1"/>
                <w:color w:val="auto"/>
                <w:w w:val="92"/>
              </w:rPr>
              <w:t>Consolidated EBITDA multiplier</w:t>
            </w:r>
            <w:r>
              <w:rPr>
                <w:rFonts w:ascii="Arial" w:cs="Arial" w:eastAsia="Arial" w:hAnsi="Arial"/>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236"/>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3/31/2022</w:t>
            </w:r>
          </w:p>
        </w:tc>
        <w:tc>
          <w:tcPr>
            <w:tcW w:w="100" w:type="dxa"/>
            <w:vAlign w:val="bottom"/>
            <w:tcBorders>
              <w:top w:val="single" w:sz="8" w:color="CCEEFF"/>
            </w:tcBorders>
            <w:shd w:val="clear" w:color="auto" w:fill="CCEEFF"/>
          </w:tcPr>
          <w:p>
            <w:pPr>
              <w:spacing w:after="0"/>
              <w:rPr>
                <w:sz w:val="20"/>
                <w:szCs w:val="20"/>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6.00x</w:t>
            </w:r>
          </w:p>
        </w:tc>
        <w:tc>
          <w:tcPr>
            <w:tcW w:w="100" w:type="dxa"/>
            <w:vAlign w:val="bottom"/>
            <w:tcBorders>
              <w:top w:val="single" w:sz="8" w:color="CCEEFF"/>
            </w:tcBorders>
            <w:shd w:val="clear" w:color="auto" w:fill="CCEEFF"/>
          </w:tcPr>
          <w:p>
            <w:pPr>
              <w:spacing w:after="0"/>
              <w:rPr>
                <w:sz w:val="20"/>
                <w:szCs w:val="20"/>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4x Q1-2022</w:t>
            </w: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6/30/2022</w:t>
            </w:r>
          </w:p>
        </w:tc>
        <w:tc>
          <w:tcPr>
            <w:tcW w:w="100" w:type="dxa"/>
            <w:vAlign w:val="bottom"/>
          </w:tcPr>
          <w:p>
            <w:pPr>
              <w:spacing w:after="0"/>
              <w:rPr>
                <w:sz w:val="20"/>
                <w:szCs w:val="20"/>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6.00x</w:t>
            </w:r>
          </w:p>
        </w:tc>
        <w:tc>
          <w:tcPr>
            <w:tcW w:w="3680" w:type="dxa"/>
            <w:vAlign w:val="bottom"/>
          </w:tcPr>
          <w:p>
            <w:pPr>
              <w:jc w:val="center"/>
              <w:spacing w:after="0"/>
              <w:rPr>
                <w:sz w:val="20"/>
                <w:szCs w:val="20"/>
                <w:color w:val="auto"/>
              </w:rPr>
            </w:pPr>
            <w:r>
              <w:rPr>
                <w:rFonts w:ascii="Arial" w:cs="Arial" w:eastAsia="Arial" w:hAnsi="Arial"/>
                <w:sz w:val="18"/>
                <w:szCs w:val="18"/>
                <w:color w:val="auto"/>
                <w:w w:val="94"/>
              </w:rPr>
              <w:t>2x YTD Q2-2022</w:t>
            </w:r>
          </w:p>
        </w:tc>
        <w:tc>
          <w:tcPr>
            <w:tcW w:w="0" w:type="dxa"/>
            <w:vAlign w:val="bottom"/>
          </w:tcPr>
          <w:p>
            <w:pPr>
              <w:spacing w:after="0"/>
              <w:rPr>
                <w:sz w:val="1"/>
                <w:szCs w:val="1"/>
                <w:color w:val="auto"/>
              </w:rPr>
            </w:pPr>
          </w:p>
        </w:tc>
      </w:tr>
      <w:tr>
        <w:trPr>
          <w:trHeight w:val="249"/>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9/30/2022</w:t>
            </w:r>
          </w:p>
        </w:tc>
        <w:tc>
          <w:tcPr>
            <w:tcW w:w="100" w:type="dxa"/>
            <w:vAlign w:val="bottom"/>
            <w:shd w:val="clear" w:color="auto" w:fill="CCEEFF"/>
          </w:tcPr>
          <w:p>
            <w:pPr>
              <w:spacing w:after="0"/>
              <w:rPr>
                <w:sz w:val="21"/>
                <w:szCs w:val="21"/>
                <w:color w:val="auto"/>
              </w:rPr>
            </w:pPr>
          </w:p>
        </w:tc>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5.75x</w:t>
            </w:r>
          </w:p>
        </w:tc>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1.33x YTD Q3-2022</w:t>
            </w:r>
          </w:p>
        </w:tc>
        <w:tc>
          <w:tcPr>
            <w:tcW w:w="0" w:type="dxa"/>
            <w:vAlign w:val="bottom"/>
          </w:tcPr>
          <w:p>
            <w:pPr>
              <w:spacing w:after="0"/>
              <w:rPr>
                <w:sz w:val="1"/>
                <w:szCs w:val="1"/>
                <w:color w:val="auto"/>
              </w:rPr>
            </w:pP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0"/>
              </w:rPr>
              <w:t>12/31/2022</w:t>
            </w:r>
          </w:p>
        </w:tc>
        <w:tc>
          <w:tcPr>
            <w:tcW w:w="100" w:type="dxa"/>
            <w:vAlign w:val="bottom"/>
          </w:tcPr>
          <w:p>
            <w:pPr>
              <w:spacing w:after="0"/>
              <w:rPr>
                <w:sz w:val="20"/>
                <w:szCs w:val="20"/>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5.75x</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3/31/2023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5.25x</w:t>
            </w: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60" w:type="dxa"/>
            <w:vAlign w:val="bottom"/>
          </w:tcPr>
          <w:p>
            <w:pPr>
              <w:jc w:val="center"/>
              <w:spacing w:after="0"/>
              <w:rPr>
                <w:sz w:val="20"/>
                <w:szCs w:val="20"/>
                <w:color w:val="auto"/>
              </w:rPr>
            </w:pPr>
            <w:r>
              <w:rPr>
                <w:rFonts w:ascii="Arial" w:cs="Arial" w:eastAsia="Arial" w:hAnsi="Arial"/>
                <w:sz w:val="18"/>
                <w:szCs w:val="18"/>
                <w:color w:val="auto"/>
                <w:w w:val="92"/>
              </w:rPr>
              <w:t>6/30/2023</w:t>
            </w:r>
          </w:p>
        </w:tc>
        <w:tc>
          <w:tcPr>
            <w:tcW w:w="100" w:type="dxa"/>
            <w:vAlign w:val="bottom"/>
          </w:tcPr>
          <w:p>
            <w:pPr>
              <w:spacing w:after="0"/>
              <w:rPr>
                <w:sz w:val="21"/>
                <w:szCs w:val="21"/>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5.25x</w:t>
            </w: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N/A - Calculated based on the previous 12 month</w:t>
            </w:r>
          </w:p>
        </w:tc>
        <w:tc>
          <w:tcPr>
            <w:tcW w:w="0" w:type="dxa"/>
            <w:vAlign w:val="bottom"/>
          </w:tcPr>
          <w:p>
            <w:pPr>
              <w:spacing w:after="0"/>
              <w:rPr>
                <w:sz w:val="1"/>
                <w:szCs w:val="1"/>
                <w:color w:val="auto"/>
              </w:rPr>
            </w:pPr>
          </w:p>
        </w:tc>
      </w:tr>
      <w:tr>
        <w:trPr>
          <w:trHeight w:val="28"/>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0"/>
              </w:rPr>
              <w:t>period including the quarter being tested</w:t>
            </w: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9/30/2023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4.75x</w:t>
            </w:r>
          </w:p>
        </w:tc>
        <w:tc>
          <w:tcPr>
            <w:tcW w:w="3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0"/>
              </w:rPr>
              <w:t>12/31/2023</w:t>
            </w:r>
          </w:p>
        </w:tc>
        <w:tc>
          <w:tcPr>
            <w:tcW w:w="100" w:type="dxa"/>
            <w:vAlign w:val="bottom"/>
          </w:tcPr>
          <w:p>
            <w:pPr>
              <w:spacing w:after="0"/>
              <w:rPr>
                <w:sz w:val="20"/>
                <w:szCs w:val="20"/>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4.75x</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3/31/2024 and thereafter</w:t>
            </w:r>
          </w:p>
        </w:tc>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4.50x</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Consolidated EBITDA is defined in the Credit Agreement Extension Amendment and is calculated as testing year-to-date period-end consolidated EBITDA times multiplier.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7" w:name="page28"/>
    <w:bookmarkEnd w:id="27"/>
    <w:p>
      <w:pPr>
        <w:ind w:firstLine="648"/>
        <w:spacing w:after="0" w:line="277" w:lineRule="auto"/>
        <w:rPr>
          <w:sz w:val="20"/>
          <w:szCs w:val="20"/>
          <w:color w:val="auto"/>
        </w:rPr>
      </w:pPr>
      <w:r>
        <w:rPr>
          <w:rFonts w:ascii="Arial" w:cs="Arial" w:eastAsia="Arial" w:hAnsi="Arial"/>
          <w:sz w:val="18"/>
          <w:szCs w:val="18"/>
          <w:color w:val="auto"/>
        </w:rPr>
        <w:t>Additionally, the SciPlay Revolver requires that SciPlay maintain a maximum total net leverage ratio not to exceed 2.50x and maintain a minimum fixed charge coverage ratio of no less than 4.00x. Future financing arrangements may impose similar requirements.</w:t>
      </w:r>
    </w:p>
    <w:p>
      <w:pPr>
        <w:spacing w:after="0" w:line="103" w:lineRule="exact"/>
        <w:rPr>
          <w:sz w:val="20"/>
          <w:szCs w:val="20"/>
          <w:color w:val="auto"/>
        </w:rPr>
      </w:pPr>
    </w:p>
    <w:p>
      <w:pPr>
        <w:ind w:right="440" w:firstLine="648"/>
        <w:spacing w:after="0" w:line="301" w:lineRule="auto"/>
        <w:rPr>
          <w:sz w:val="20"/>
          <w:szCs w:val="20"/>
          <w:color w:val="auto"/>
        </w:rPr>
      </w:pPr>
      <w:r>
        <w:rPr>
          <w:rFonts w:ascii="Arial" w:cs="Arial" w:eastAsia="Arial" w:hAnsi="Arial"/>
          <w:sz w:val="16"/>
          <w:szCs w:val="16"/>
          <w:color w:val="auto"/>
        </w:rPr>
        <w:t>Various risks, uncertainties and events beyond our control could affect our ability to comply with these covenants. The ongoing outbreak of COVID-19 has had, and may continue to have, a negative effect on us, especially in our Gaming business. Accordingly, we cannot assure that we will continue to maintain liquidity sufficient to satisfy our current obligations or comply with the minimum liquidity requirement set forth in SGC’s credit agreement or return to compliance with the consolidated net first lien leverage ratio covenant following the Covenant Relief Period.</w:t>
      </w:r>
    </w:p>
    <w:p>
      <w:pPr>
        <w:spacing w:after="0" w:line="76"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We also cannot assure that we will be granted waivers or amendments to the agreements governing our indebtedness if for any reason we are unable to comply with these obligations or that we will be able to refinance our debt on terms acceptable to us, or at all.</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not have sufficient cash flows from operating activities, cash on hand and available borrowings under our credit agreement to finance required capital expenditures under new contracts and meet our other cash needs or satisfy our minimum liquidity covenant. These obligations require a significant amount of cash, which would reduce our available liquidity.</w:t>
      </w:r>
    </w:p>
    <w:p>
      <w:pPr>
        <w:spacing w:after="0" w:line="116" w:lineRule="exact"/>
        <w:rPr>
          <w:sz w:val="20"/>
          <w:szCs w:val="20"/>
          <w:color w:val="auto"/>
        </w:rPr>
      </w:pPr>
    </w:p>
    <w:p>
      <w:pPr>
        <w:ind w:right="460" w:firstLine="648"/>
        <w:spacing w:after="0" w:line="311" w:lineRule="auto"/>
        <w:rPr>
          <w:sz w:val="20"/>
          <w:szCs w:val="20"/>
          <w:color w:val="auto"/>
        </w:rPr>
      </w:pPr>
      <w:r>
        <w:rPr>
          <w:rFonts w:ascii="Arial" w:cs="Arial" w:eastAsia="Arial" w:hAnsi="Arial"/>
          <w:sz w:val="16"/>
          <w:szCs w:val="16"/>
          <w:color w:val="auto"/>
        </w:rPr>
        <w:t>Our Gaming operations business generally requires significant upfront capital expenditures for gaming machine, software customization and implementation, systems and equipment installation and telecommunications configuration. In connection with a Gaming operations contract, our customers often obtain new gaming machines, which may require additional capital expenditures in order to fulfill the contract.</w:t>
      </w:r>
    </w:p>
    <w:p>
      <w:pPr>
        <w:spacing w:after="0" w:line="6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Historically, we have funded these upfront cash outflows through cash flows generated from operations, available cash on hand and borrowings under our credit agreement. Our ability to generate revenue and to continue to procure new contracts will depend on, among other things, our then present liquidity levels or our ability to obtain additional financing on commercially reasonable terms, which are negatively affected by the recent COVID-19 pandemic.</w:t>
      </w:r>
    </w:p>
    <w:p>
      <w:pPr>
        <w:spacing w:after="0" w:line="11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If we do not have adequate liquidity or are unable to obtain financing for these upfront cash outflows and other cash needs on favorable terms or at all, we may not be able to fulfill certain contracts, which could result in our losing business or restrict our ability to grow, which could have a material adverse effect on our results of operations, cash flows and financial condition. Moreover, we may not realize the return on investment that we anticipate on such contracts due to a variety of factors, including lower than anticipated retail sales or amounts wagered, higher than anticipated capital or operating expenses and unanticipated regulatory developments or litigation. We may not have adequate liquidity to pursue other aspects of our strategy, including bringing our products and services to new customers or new or underpenetrated geographies or pursuing strategic acquisitions. In the event we pursue significant acquisitions or other expansion opportunities, conduct significant repurchases of our outstanding securities, or refinance or repay existing debt, we may need to raise additional capital either through the public or private issuance of equity or debt securities or through additional borrowings under our existing financing arrangements, which sources of funds may not necessarily be available on terms acceptable to us, if at all, especially under the current unfavorable economic conditions and uncertainties as a result of the COVID-19 pandemic.</w:t>
      </w:r>
    </w:p>
    <w:p>
      <w:pPr>
        <w:spacing w:after="0" w:line="10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Under SGI’s amended revolving credit facility we currently have a minimum liquidity requirement (excluding SciPlay) of at least $275 million during the Covenant Relief Period and have further restrictions on our ability to incur indebtedness and liens, make restricted payments and investments and prepay junior indebtedness during the Covenant Relief Period, subject to certain exceptions and further subject, in some instances, to maintaining minimum liquidity (excluding SciPlay) of at least $400 million. See Note 15 for details regarding the Credit Agreement Amendment and the Credit Agreement Extension Amendment. Therefore, even if we do have liquidity available to support our current cash needs, we may not be able to access that liquidity while still remaining in compliance with the minimum liquidity covenant. We cannot assure that we will be granted waivers or amendments to the minimum liquidity covenant, or will be able to obtain additional liquidity to cure such a violation, if for any reason we are unable to comply with that obligation.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Business and our Industries</w:t>
      </w:r>
    </w:p>
    <w:p>
      <w:pPr>
        <w:spacing w:after="0" w:line="1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industries, and our success depends on our ability to effectively compete with numerous domestic and foreign businesses.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4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Gaming business faces significant competition, not only from traditional gaming suppliers, but also from a number of other domestic and foreign providers, some of which have substantially greater financial resources and/or experience than we do. In some cases, we compete against gaming operators, including illegal or unregulated operators. Additionally, we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ind w:right="80"/>
        <w:spacing w:after="0" w:line="277" w:lineRule="auto"/>
        <w:rPr>
          <w:sz w:val="20"/>
          <w:szCs w:val="20"/>
          <w:color w:val="auto"/>
        </w:rPr>
      </w:pPr>
      <w:r>
        <w:rPr>
          <w:rFonts w:ascii="Arial" w:cs="Arial" w:eastAsia="Arial" w:hAnsi="Arial"/>
          <w:sz w:val="18"/>
          <w:szCs w:val="18"/>
          <w:color w:val="auto"/>
        </w:rPr>
        <w:t>face competition from smaller gaming companies that have established certain competitive products in recent years and are able to focus their resources on developing a smaller number of high-performing products.</w:t>
      </w:r>
    </w:p>
    <w:p>
      <w:pPr>
        <w:spacing w:after="0" w:line="10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compete on the basis of the content, features, quality, functionality, accuracy, reliability, price and financing terms of our products and services, and the responsiveness of our services. If we do not consistently deliver popular, high-quality games in a timely manner, or if consumers prefer competing products, our business might suffer. Consumer preferences for games are usually cyclical and difficult to predict, and even the most successful content remains popular for only limited periods of time, unless refreshed with new content or otherwise enhanced. In order to remain competitive, we must continuously develop new products or enhancements to our existing products. These products or enhancements may not be well-received by consumers, even if well-reviewed and of high quality. Further, competitors may develop content that imitates or competes with our best-selling games, potentially taking sales away from them or reducing our ability to charge the same prices we have historically charged for our products. We have experienced pricing pressures in the past, including in 2020 and in 2021. These competing products may take a larger share of consumer spending than anticipated, which could cause product sales to fall below expectations. We also compete based on the extent of our sales, service, marketing and distribution channels. We on occasion provide extended payment term financing for product purchases, and we expect to continue to provide extended payment term financing until the impacts of COVID-19 and demand for such financing abate. We have also offered customers discounts and other offers and modified pricing and other contractual terms in connection with the sale or placement of our products and services. Our competitors may provide a greater amount of financing or better offers and terms than we do, and this may impact demand for our Gaming products and services. We cannot assure that competitive pressure will not cause us to increase the incentives that we offer to our customers or agree to modify contractual terms in ways that are unfavorable to us, which could adversely impact our results of operations, cash flows and financial condition.</w:t>
      </w:r>
    </w:p>
    <w:p>
      <w:pPr>
        <w:spacing w:after="0" w:line="8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also compete to obtain space and favorable placement on casino gaming floors, and some of our product lines may compete against each other for this space. Consolidation of casino and other operators, increased competition among operators and reductions in capital expenditures by operators have significantly increased the level of competition among gaming suppliers and may do so in the future. Casino operators focus on performance, longevity, player appeal and price when making their purchasing decisions. Competitors with a larger installed base of gaming machines and more game themes than ours may have an advantage in obtaining and retaining placements in casinos. Our Shufflers also compete against hand shuffling, which remains the most competitive shuffling option for casino card games around the world.</w:t>
      </w:r>
    </w:p>
    <w:p>
      <w:pPr>
        <w:spacing w:after="0" w:line="11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also face high levels of competition in the supply of products and services for newly legalized gaming jurisdictions and for openings of new or expanded casinos. Our success depends on our ability to successfully enter new markets and compete successfully for new business, especially in the face of declining demand and lengthened cycles for gaming machine replacements as a result of COVID-19 disruptions.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SciPlay</w:t>
      </w:r>
    </w:p>
    <w:p>
      <w:pPr>
        <w:spacing w:after="0" w:line="14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SciPlay, which includes social casino games and from which we derive substantially all of our SciPlay revenue, is a rapidly evolving industry with low barriers to entry. Businesses can easily launch online or on mobile platforms and applications at nominal cost by using commercially available software or partnering with various established companies in these markets. The market for our games is also characterized by rapid technological developments, frequent launches of new games and features, changes in player needs and behavior, disruption by innovative entrants and evolving business models and industry standards. As a result, our industry is constantly changing games and business models in order to adopt and optimize new technologies, increase cost efficiency and adapt to player preferences.</w:t>
      </w:r>
    </w:p>
    <w:p>
      <w:pPr>
        <w:spacing w:after="0" w:line="1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Successful execution of our strategy depends on our continuous ability to attract and retain players, adapt to the emergence of new mobile hardware or operating systems, expand the market for our games, maintain a technological edge and offer new capabilities to players. We also compete with social gaming companies, including those that offer social casino games such as Playtika, Product Madness/Big Fish Games (Aristocrat), Zynga Inc., DoubleU Games/Double Down Interactive, GSN/Bash Gaming and Huuuge games, some of which have no connection to regulated real money gaming, and many of those companies have a base of existing players that is larger than ours. In some cases, we compete against real money gaming operators who have expanded their games to include social casino games and have in the past leveraged their land-based gaming relationship with us to license social casino game content from us. In those cases, customers of such real money gaming operators may choose to play our content as it is offered by the operator and not as it is offered by our social casino games, detrimentally impacting our results.</w:t>
      </w:r>
    </w:p>
    <w:p>
      <w:pPr>
        <w:spacing w:after="0" w:line="1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of our current and potential competitors enjoy substantial competitive advantages, such as greater name recognition, longer operating histories, greater financial, technical, and other resources and, in some cases, the ability to rapidly combine online platforms with traditional staffing and contingent worker solutions. These companies may use these advantages to develop different platforms and services to compete with our games, spend more on advertising and brand marketing, invest more in research and development or respond more quickly and effectively than we do to new or changing opportunities,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ind w:right="440"/>
        <w:spacing w:after="0" w:line="277" w:lineRule="auto"/>
        <w:rPr>
          <w:sz w:val="20"/>
          <w:szCs w:val="20"/>
          <w:color w:val="auto"/>
        </w:rPr>
      </w:pPr>
      <w:r>
        <w:rPr>
          <w:rFonts w:ascii="Arial" w:cs="Arial" w:eastAsia="Arial" w:hAnsi="Arial"/>
          <w:sz w:val="18"/>
          <w:szCs w:val="18"/>
          <w:color w:val="auto"/>
        </w:rPr>
        <w:t>technologies, standards, regulatory conditions or player preferences or requirements. As a result, our players may decide to stop playing our games or switch to our competitors’ games.</w:t>
      </w:r>
    </w:p>
    <w:p>
      <w:pPr>
        <w:spacing w:after="0" w:line="103"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Moreover, current and future competitors may also make strategic acquisitions or establish cooperative relationships among themselves or with others, including our current or future third-party suppliers. By doing so, these competitors may increase their ability to meet the needs of existing or prospective players. These developments could limit our ability to obtain revenue from existing and new buyers. If we are unable to compete effectively, successfully and at reasonable cost against our existing and future competitors, our results of operations, cash flows and financial condition could be adversely impacted.</w:t>
      </w:r>
    </w:p>
    <w:p>
      <w:pPr>
        <w:spacing w:after="0" w:line="107"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offer players regular free play and frequent discounts for purchases of virtual coins to extend play in connection with our social casino gaming business. We cannot assure that competitive pressure will not cause us to increase the incentives that we offer to our players, which could adversely impact our results of operations, cash flows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iGaming</w:t>
      </w:r>
    </w:p>
    <w:p>
      <w:pPr>
        <w:spacing w:after="0" w:line="15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iGaming business is also subject to significant competition. Our iGaming business focuses on the supply of game content to online casino operators, and there are a number of competitors in that industry, including from illegal or unregulated operators.</w:t>
      </w:r>
    </w:p>
    <w:p>
      <w:pPr>
        <w:spacing w:after="0" w:line="8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cannot assure that we will be successful in offering our technology, content and services to digital gaming operators as we expect to face intense competition from our traditional competitors in the igaming industry and a number of other domestic and foreign providers (or, in some cases, the operators themselves), some of which have substantially greater financial resources and/or experience in this area than we do. In addition, there is a risk that the authorization of the provision of gaming offerings via interactive channels in a particular jurisdiction could, under certain circumstances, adversely impact our Gaming offerings through traditional channels in such jurisdiction. Any such adverse impact would be magnified to the extent we are not involved in, and generating revenue from, the provision of iGaming products or services in such jurisdiction.</w:t>
      </w:r>
    </w:p>
    <w:p>
      <w:pPr>
        <w:spacing w:after="0" w:line="11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order to stay competitive in our iGaming business, we will need to continue to create, source and market game content that attracts players and invest in new and emerging technologies. Some of our competitors may be more willing to provide internet wagering in countries where the relevant laws and regulations are unclear or not uniformly enforced, putting us at a competitive disadvantage if we do not provide services related to internet wagering in such countries.</w:t>
      </w:r>
    </w:p>
    <w:p>
      <w:pPr>
        <w:spacing w:after="0" w:line="11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Our success depends upon our ability to adapt to, and offer products and services that keep pace with, changing technology and evolving industry standards.</w:t>
      </w:r>
    </w:p>
    <w:p>
      <w:pPr>
        <w:spacing w:after="0" w:line="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ability to anticipate or respond to changing technology and evolving industry standards and to develop and introduce new and enhanced products and services, including, but not limited to, gaming content, gaming machines, CMSs, table products and digital gaming products and services, on a timely basis or at all is a significant factor affecting our ability to remain competitive, retain existing contracts or business and expand and attract new customers and players. We cannot assure that we will achieve the necessary technological advances or have the financial resources needed to introduce new products or services on a timely basis or at all.</w:t>
      </w:r>
    </w:p>
    <w:p>
      <w:pPr>
        <w:spacing w:after="0" w:line="120"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Introducing new and innovative products and services requires us to adapt and refine our manufacturing, operations and delivery capabilities to meet the needs of our product innovation. If we cannot efficiently adapt our manufacturing infrastructure to meet the needs associated with our product innovations, or if we are unable to develop products or upgrade our production capacity in a timely manner, our business could be negatively impacted. In the past, we have experienced delays in launching new products and services due to the complex or innovative technologies embedded in our products and services. Such delays can adversely impact our results of operations, cash flows and 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invest significant resources in our R&amp;D efforts, which may not lead to successful or commercially viable new technologies, services or products.</w:t>
      </w:r>
    </w:p>
    <w:p>
      <w:pPr>
        <w:spacing w:after="0" w:line="179"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We have invested, and intend to make future investments of, significant resources in R&amp;D efforts. We invest in a number of areas, including product development for game and system</w:t>
      </w:r>
      <w:r>
        <w:rPr>
          <w:rFonts w:ascii="MS PGothic" w:cs="MS PGothic" w:eastAsia="MS PGothic" w:hAnsi="MS PGothic"/>
          <w:sz w:val="17"/>
          <w:szCs w:val="17"/>
          <w:color w:val="auto"/>
        </w:rPr>
        <w:t>‑</w:t>
      </w:r>
      <w:r>
        <w:rPr>
          <w:rFonts w:ascii="Arial" w:cs="Arial" w:eastAsia="Arial" w:hAnsi="Arial"/>
          <w:sz w:val="17"/>
          <w:szCs w:val="17"/>
          <w:color w:val="auto"/>
        </w:rPr>
        <w:t>based hardware, software and game content. In addition, because of the sophistication of our newer products and the resources committed to their development, they are generally more expensive to produce and, for SciPlay and iGaming technologies, to maintain. If our new services and products do not gain market acceptance or the increase in the average selling price of these new products is not proportionate to the increase in production cost, in each case as compared to our prior products, or if the average cost of production does not go down over time, whether by reason of long-term customer acceptance, our ability to find greater efficiencies in the manufacturing process as we refine our production capabilities or a general decrease in the cost of the technology, our margins will suffer and could negatively impact our business, results of operations, cash flows and financial condition. We cannot assure that our investment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in R&amp;D will lead to successful new technologies or products. If a new service or product is not successful, we may not recover our development, regulatory approval or promotion costs.</w:t>
      </w:r>
    </w:p>
    <w:p>
      <w:pPr>
        <w:spacing w:after="0" w:line="10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produce new and innovative products and services that respond to customer demand and create strong and sustained player appeal.</w:t>
      </w:r>
    </w:p>
    <w:p>
      <w:pPr>
        <w:spacing w:after="0" w:line="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success depends upon our ability to respond to dynamic customer demand by producing new and innovative products and services. The process of developing new products and services is inherently complex and uncertain. If we fail to accurately anticipate customer needs and end user preferences through the development of new products and services, we could lose business to our competitors, which would adversely affect our results of operations, cash flows and financial condition.</w:t>
      </w:r>
    </w:p>
    <w:p>
      <w:pPr>
        <w:spacing w:after="0" w:line="119" w:lineRule="exact"/>
        <w:rPr>
          <w:sz w:val="20"/>
          <w:szCs w:val="20"/>
          <w:color w:val="auto"/>
        </w:rPr>
      </w:pPr>
    </w:p>
    <w:p>
      <w:pPr>
        <w:ind w:right="80" w:firstLine="648"/>
        <w:spacing w:after="0" w:line="219" w:lineRule="exact"/>
        <w:rPr>
          <w:sz w:val="20"/>
          <w:szCs w:val="20"/>
          <w:color w:val="auto"/>
        </w:rPr>
      </w:pPr>
      <w:r>
        <w:rPr>
          <w:rFonts w:ascii="Arial" w:cs="Arial" w:eastAsia="Arial" w:hAnsi="Arial"/>
          <w:sz w:val="17"/>
          <w:szCs w:val="17"/>
          <w:color w:val="auto"/>
        </w:rPr>
        <w:t>Our businesses develop and source game content both internally and through third</w:t>
      </w:r>
      <w:r>
        <w:rPr>
          <w:rFonts w:ascii="MS PGothic" w:cs="MS PGothic" w:eastAsia="MS PGothic" w:hAnsi="MS PGothic"/>
          <w:sz w:val="17"/>
          <w:szCs w:val="17"/>
          <w:color w:val="auto"/>
        </w:rPr>
        <w:t>‑</w:t>
      </w:r>
      <w:r>
        <w:rPr>
          <w:rFonts w:ascii="Arial" w:cs="Arial" w:eastAsia="Arial" w:hAnsi="Arial"/>
          <w:sz w:val="17"/>
          <w:szCs w:val="17"/>
          <w:color w:val="auto"/>
        </w:rPr>
        <w:t>party suppliers. We also seek to secure third</w:t>
      </w:r>
      <w:r>
        <w:rPr>
          <w:rFonts w:ascii="MS PGothic" w:cs="MS PGothic" w:eastAsia="MS PGothic" w:hAnsi="MS PGothic"/>
          <w:sz w:val="17"/>
          <w:szCs w:val="17"/>
          <w:color w:val="auto"/>
        </w:rPr>
        <w:t>‑</w:t>
      </w:r>
      <w:r>
        <w:rPr>
          <w:rFonts w:ascii="Arial" w:cs="Arial" w:eastAsia="Arial" w:hAnsi="Arial"/>
          <w:sz w:val="17"/>
          <w:szCs w:val="17"/>
          <w:color w:val="auto"/>
        </w:rPr>
        <w:t>party brands for incorporation into our game content. We believe that creative and appealing game content produces more revenue for our gaming machine customers and provides them with a competitive advantage, which in turn enhances our revenue and our ability to attract new business and to retain existing business. We cannot assure that we will be able to sustain the success of our existing game content or effectively develop or obtain from third parties game content or licensed brands that will be widely accepted both by our customers and players.</w:t>
      </w:r>
    </w:p>
    <w:p>
      <w:pPr>
        <w:spacing w:after="0" w:line="13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success also depends on creating products and services with strong and sustained player appeal. We are under continuous pressure to anticipate player reactions to, and acceptance of, our new products, avoid declining play levels on our leased gaming machines and continue to provide successful products that generate a high level of play. In some cases, a new game or gaming machine will only be accepted by our casino or digital gaming customers if we can demonstrate that it is likely to produce more revenue and Net win and/or has more player appeal than our existing products and services or our competitors’ products and services. WAP, premium and daily fee Participation gaming machines are replaced on short notice by casino operators if they do not meet and sustain revenue and profitability expectations. Customers may cancel pending orders with us if our products are not performing to expectations at other casinos.</w:t>
      </w:r>
    </w:p>
    <w:p>
      <w:pPr>
        <w:spacing w:after="0" w:line="1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addition, the social gaming landscape is rapidly evolving and is characterized by major fluctuations in the popularity of social products and platforms, such as the dramatic increase in the popularity of mobile platforms. We may be unable to develop products at a rate necessary to respond to these changes, or at all, or that anticipate the interests of social players. Likewise, our SciPlay offerings operate largely through </w:t>
      </w:r>
      <w:r>
        <w:rPr>
          <w:rFonts w:ascii="Arial" w:cs="Arial" w:eastAsia="Arial" w:hAnsi="Arial"/>
          <w:sz w:val="18"/>
          <w:szCs w:val="18"/>
          <w:i w:val="1"/>
          <w:iCs w:val="1"/>
          <w:color w:val="auto"/>
        </w:rPr>
        <w:t>Facebook, Google, Apple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Amazon </w:t>
      </w:r>
      <w:r>
        <w:rPr>
          <w:rFonts w:ascii="Arial" w:cs="Arial" w:eastAsia="Arial" w:hAnsi="Arial"/>
          <w:sz w:val="18"/>
          <w:szCs w:val="18"/>
          <w:color w:val="auto"/>
        </w:rPr>
        <w:t>and</w:t>
      </w:r>
      <w:r>
        <w:rPr>
          <w:rFonts w:ascii="Arial" w:cs="Arial" w:eastAsia="Arial" w:hAnsi="Arial"/>
          <w:sz w:val="18"/>
          <w:szCs w:val="18"/>
          <w:i w:val="1"/>
          <w:iCs w:val="1"/>
          <w:color w:val="auto"/>
        </w:rPr>
        <w:t xml:space="preserve"> Microsoft </w:t>
      </w:r>
      <w:r>
        <w:rPr>
          <w:rFonts w:ascii="Arial" w:cs="Arial" w:eastAsia="Arial" w:hAnsi="Arial"/>
          <w:sz w:val="18"/>
          <w:szCs w:val="18"/>
          <w:color w:val="auto"/>
        </w:rPr>
        <w:t>platforms. If alternative platforms increase in popularity, we could be adversely impacted if we fail to timely create compatible</w:t>
      </w:r>
      <w:r>
        <w:rPr>
          <w:rFonts w:ascii="Arial" w:cs="Arial" w:eastAsia="Arial" w:hAnsi="Arial"/>
          <w:sz w:val="18"/>
          <w:szCs w:val="18"/>
          <w:i w:val="1"/>
          <w:iCs w:val="1"/>
          <w:color w:val="auto"/>
        </w:rPr>
        <w:t xml:space="preserve"> </w:t>
      </w:r>
      <w:r>
        <w:rPr>
          <w:rFonts w:ascii="Arial" w:cs="Arial" w:eastAsia="Arial" w:hAnsi="Arial"/>
          <w:sz w:val="18"/>
          <w:szCs w:val="18"/>
          <w:color w:val="auto"/>
        </w:rPr>
        <w:t>versions of our products.</w:t>
      </w:r>
    </w:p>
    <w:p>
      <w:pPr>
        <w:spacing w:after="0" w:line="12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Competition is intense in the digital and social gaming landscape. The increased importance of digital content delivery in our industry increases the potential competition in our SciPlay and iGaming businesses, as the minimum capital needed to produce and publish a digitally delivered game, particularly a new game for mobile platforms, may be significantly less than that needed to produce and publish one that is purchased through retail distribution. As more competitors enter the market, our operating results may be negatively impacted.</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inability to complete multiple acquisitions and integrate those businesses successfully could limit our growth or disrupt our plans and operations.</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growth strategy depends on our pursuit of strategic acquisitions. Our ability to succeed in implementing our acquisition strategy will depend to some degree upon our ability to identify and complete commercially viable acquisitions, including multiple acquisitions carried out simultaneously and in short time frames. We cannot assure that acquisition opportunities will be available on acceptable terms or at all, or that we will be able to obtain necessary financing or regulatory approvals to complete potential acquisitions.</w:t>
      </w:r>
    </w:p>
    <w:p>
      <w:pPr>
        <w:spacing w:after="0" w:line="11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may not be able to successfully integrate any businesses that we acquire or do so within the intended timeframes. We could face significant challenges in managing and integrating our acquisitions and our combined operations, including acquired assets, operations and personnel. In addition, the expected cost synergies or any other anticipated benefits associated with such acquisitions may not be fully realized in the anticipated amounts or within the contemplated timeframes or cost expectations, which could result in increased costs and have an adverse effect on our prospects, results of operations, cash flows and financial condition. We expect to incur incremental costs and capital expenditures related to our contemplated integration activities.</w:t>
      </w:r>
    </w:p>
    <w:p>
      <w:pPr>
        <w:spacing w:after="0" w:line="94" w:lineRule="exact"/>
        <w:rPr>
          <w:sz w:val="20"/>
          <w:szCs w:val="20"/>
          <w:color w:val="auto"/>
        </w:rPr>
      </w:pPr>
    </w:p>
    <w:p>
      <w:pPr>
        <w:ind w:right="560" w:firstLine="648"/>
        <w:spacing w:after="0" w:line="217" w:lineRule="exact"/>
        <w:rPr>
          <w:sz w:val="20"/>
          <w:szCs w:val="20"/>
          <w:color w:val="auto"/>
        </w:rPr>
      </w:pPr>
      <w:r>
        <w:rPr>
          <w:rFonts w:ascii="Arial" w:cs="Arial" w:eastAsia="Arial" w:hAnsi="Arial"/>
          <w:sz w:val="16"/>
          <w:szCs w:val="16"/>
          <w:color w:val="auto"/>
        </w:rPr>
        <w:t>Acquisition transactions may disrupt our ongoing business. The integration of acquisitions will require significant time and focus from management and may divert attention from the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operations of the combined business or delay the achievement of our strategic objectives.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achieve some or all of the anticipated benefits of SciPlay being a standalone public company, which could negatively impact our business, financial condition and results of operation.</w:t>
      </w:r>
    </w:p>
    <w:p>
      <w:pPr>
        <w:spacing w:after="0" w:line="10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may not be able to achieve all of the anticipated strategic benefits expected as a result of SciPlay being a standalone public company, or such benefits may be delayed or not occur at all. The anticipated benefits include the following:</w:t>
      </w:r>
    </w:p>
    <w:p>
      <w:pPr>
        <w:spacing w:after="0" w:line="8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allowing investors to evaluate the distinct merits, performance and future prospects of the SciPlay business, independent of our other businesses;</w:t>
      </w:r>
    </w:p>
    <w:p>
      <w:pPr>
        <w:spacing w:after="0" w:line="180" w:lineRule="exact"/>
        <w:rPr>
          <w:rFonts w:ascii="Arial" w:cs="Arial" w:eastAsia="Arial" w:hAnsi="Arial"/>
          <w:sz w:val="16"/>
          <w:szCs w:val="16"/>
          <w:color w:val="auto"/>
        </w:rPr>
      </w:pPr>
    </w:p>
    <w:p>
      <w:pPr>
        <w:jc w:val="both"/>
        <w:ind w:left="660" w:right="40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improving the SciPlay business’s strategic and operational flexibility and increasing management focus as SciPlay continues to implement its strategic plan and allowing the SciPlay business to respond more effectively to different player needs and the competitive environment for its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creating an independent equity structure that will facilitate the SciPlay business’s ability to effect future acquisitions utilizing its capital stock; and</w:t>
      </w:r>
    </w:p>
    <w:p>
      <w:pPr>
        <w:spacing w:after="0" w:line="167" w:lineRule="exact"/>
        <w:rPr>
          <w:rFonts w:ascii="Arial" w:cs="Arial" w:eastAsia="Arial" w:hAnsi="Arial"/>
          <w:sz w:val="16"/>
          <w:szCs w:val="16"/>
          <w:color w:val="auto"/>
        </w:rPr>
      </w:pPr>
    </w:p>
    <w:p>
      <w:pPr>
        <w:ind w:left="660" w:right="2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facilitating incentive compensation arrangements for employees more directly tied to the performance of the SciPlay business, and enhancing employee hiring and retention by, among other things, improving the alignment of management and employee incentives with performance and growth objectives of the SciPlay business.</w:t>
      </w:r>
    </w:p>
    <w:p>
      <w:pPr>
        <w:spacing w:after="0" w:line="11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may not achieve the anticipated benefits of SciPlay being a standalone public company for a variety of reasons, and it could adversely affect our operating results and financial condition.</w:t>
      </w:r>
    </w:p>
    <w:p>
      <w:pPr>
        <w:spacing w:after="0" w:line="10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consummation of the SciPlay initial public offering (“IPO”) in 2019 diluted our economic interest in the SciPlay business, and as a result we only benefit from a portion of any profits and growth of that business, and from any dividends and other distributions from that business, if any. We currently do not expect SciPlay to declare or pay any cash dividends, other than tax distributions and certain cash distributions related to the impact of taxes pursuant to the TRA, and therefore its operating cash flows are not available for our use other than within SciPlay. If SciPlay discontinues the payment of, or is unable to pay, such distributions to us, this will further reduce our available liquidity. For the year ended December 31, 2021, SciPlay generated 54% of our net cash provided by operating activities from continuing operations and 24% of our net cash provided by operating activities (including discontinued operations). Furthermore, the terms of any indebtedness incurred by SciPlay business may, and the terms of the SciPlay Revolver will, limit the ability of SciPlay business to pay dividends or make other distributions to us, or to amend the agreements between SciPlay and us and our other subsidiaries.</w:t>
      </w:r>
    </w:p>
    <w:p>
      <w:pPr>
        <w:spacing w:after="0" w:line="11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We depend on our suppliers and contract manufacturers, and any failure of these parties to meet our performance and quality standards or requirements could cause us to incur additional costs or lose customers.</w:t>
      </w:r>
    </w:p>
    <w:p>
      <w:pPr>
        <w:spacing w:after="0" w:line="10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operating results could be adversely affected by an interruption or cessation in the supply of these items or a serious quality assurance lapse, including as a result of the insolvency of any of our key suppliers.</w:t>
      </w:r>
    </w:p>
    <w:p>
      <w:pPr>
        <w:spacing w:after="0" w:line="103"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Similarly, the manufacture and maintenance of our gaming machines and gaming systems are dependent upon a regular and continuous supply of raw materials and components, many of which are manufactured or produced outside of the U.S. Certain of the components we use are customized for our products. The assembly of certain of our products and other hardware is performed by third parties. Any interruption or cessation in the supply of these items or services or any material quality assurance lapse with respect thereto could materially adversely affect our ability to fulfill customer orders, results of operations, cash flows and financial condition. We may be unable to find adequate replacements for our suppliers within a reasonable time frame, on favorable commercial terms or at all. The impact of the foregoing may be magnified as we continue to seek to streamline our gaming supply chain by reducing the number of our suppliers. Further, manufacturing costs may unexpectedly increase and we may not be able to successfully recover any or all of such cost increases. Additionally, in 2021, we experienced pressures on the supply chain related to parts sourcing, which contributed to approximately</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$5 million of inventory obsolescence charge. Because of the use of certain shared parts in some of our gaming machines in both old and new cabinets, supply chain pressures on availability of these parts may require us to re-allocate shared parts, rendering further units obsolete if such conditions sustain for an extended period of time.</w:t>
      </w:r>
    </w:p>
    <w:p>
      <w:pPr>
        <w:spacing w:after="0" w:line="10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all of our businesses, we rely upon a number of significant third-party suppliers and vendors delivering parts, equipment and services on schedule in order for us to meet our contractual commitments. Furthermore, we outsource the manufacturing of certain of our sub-assemblies to third parties in the U.S., Europe, Central America and Asia. The willingness of such third parties to provide their services to us may be affected by various factors. Changes in law or regulation in any jurisdiction in which we operate may make the provision of key services to us unlawful in such jurisdictions. To the extent that third parties are unwilling or unable to provide services to us, this may have an adverse impact on our operations, financial performance and prospects. Failure of these third parties to meet their delivery commitments could result in us being in breach of, and subsequently losing, the affected customer orders, which loss could have a material adverse effect on our results of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ind w:right="500"/>
        <w:spacing w:after="0" w:line="308" w:lineRule="auto"/>
        <w:rPr>
          <w:sz w:val="20"/>
          <w:szCs w:val="20"/>
          <w:color w:val="auto"/>
        </w:rPr>
      </w:pPr>
      <w:r>
        <w:rPr>
          <w:rFonts w:ascii="Arial" w:cs="Arial" w:eastAsia="Arial" w:hAnsi="Arial"/>
          <w:sz w:val="17"/>
          <w:szCs w:val="17"/>
          <w:color w:val="auto"/>
        </w:rPr>
        <w:t>operations, cash flows and financial condition. We rely on network and/or telecommunications services for certain of our products. For instance, any disruption to our network or telecommunications could impact our linked or networked games, which could reduce our revenue.</w:t>
      </w:r>
    </w:p>
    <w:p>
      <w:pPr>
        <w:spacing w:after="0" w:line="7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our SciPlay and iGaming businesses, we often rely on third-party data center providers to, among other things, host our remote game servers. Our SciPlay and iGaming businesses could be adversely impacted by breaches of or disruptions to these third-party data centers, including through disruptions in our RMG business, potential service level penalties with respect to our customers, reputational harm, the disclosure of proprietary information or the information of our customers or the theft of our or our customers assets, and to the extent any such data center provider was unable or unwilling to continue to provide services to us.</w:t>
      </w:r>
    </w:p>
    <w:p>
      <w:pPr>
        <w:spacing w:after="0" w:line="107"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In certain regions, we enter into agreements with local distributors for the distribution of our land-based gaming products to one or more customers. Changes to these distributor relationships, including modification or termination of our agreements or difficulties with any such distributor could prevent us from delivering products or services to our customers on a timely basis, or at all, and could negatively impact our business. Additionally, the outbreak of COVID-19 and any resulting unfavorable social, political and economic conditions have negatively impacted our suppliers and contract manufacturers in varied ways in different communities, which could lead to interruption or cessation of services provided to us. For more information on the impact of the outbreak of COVID-19, see the risk factor captioned “The COVID-19 pandemic and similar health epidemics, contagious disease outbreaks and public perception thereof, continue to and, in the future, could significantly impact our operations and, should negative impacts such as significant player engagement develop, adversely affect and continue to adversely affect our operations, business, results of operations, cash flows and financial condition.”</w:t>
      </w:r>
    </w:p>
    <w:p>
      <w:pPr>
        <w:spacing w:after="0" w:line="129"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b w:val="1"/>
          <w:bCs w:val="1"/>
          <w:i w:val="1"/>
          <w:iCs w:val="1"/>
          <w:color w:val="auto"/>
        </w:rPr>
        <w:t>Our SciPlay business largely depends upon our relationships with key third-party platform providers, who we rely on to make our games available to players and to collect revenue, and changes in those relationships could negatively impact our SciPlay business.</w:t>
      </w:r>
    </w:p>
    <w:p>
      <w:pPr>
        <w:spacing w:after="0" w:line="7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In our SciPlay business, our services operate largely through </w:t>
      </w:r>
      <w:r>
        <w:rPr>
          <w:rFonts w:ascii="Arial" w:cs="Arial" w:eastAsia="Arial" w:hAnsi="Arial"/>
          <w:sz w:val="16"/>
          <w:szCs w:val="16"/>
          <w:i w:val="1"/>
          <w:iCs w:val="1"/>
          <w:color w:val="auto"/>
        </w:rPr>
        <w:t>Facebook</w:t>
      </w:r>
      <w:r>
        <w:rPr>
          <w:rFonts w:ascii="Arial" w:cs="Arial" w:eastAsia="Arial" w:hAnsi="Arial"/>
          <w:sz w:val="16"/>
          <w:szCs w:val="16"/>
          <w:color w:val="auto"/>
        </w:rPr>
        <w:t xml:space="preserve">, </w:t>
      </w:r>
      <w:r>
        <w:rPr>
          <w:rFonts w:ascii="Arial" w:cs="Arial" w:eastAsia="Arial" w:hAnsi="Arial"/>
          <w:sz w:val="16"/>
          <w:szCs w:val="16"/>
          <w:i w:val="1"/>
          <w:iCs w:val="1"/>
          <w:color w:val="auto"/>
        </w:rPr>
        <w:t>Google</w:t>
      </w:r>
      <w:r>
        <w:rPr>
          <w:rFonts w:ascii="Arial" w:cs="Arial" w:eastAsia="Arial" w:hAnsi="Arial"/>
          <w:sz w:val="16"/>
          <w:szCs w:val="16"/>
          <w:color w:val="auto"/>
        </w:rPr>
        <w:t xml:space="preserve">, </w:t>
      </w:r>
      <w:r>
        <w:rPr>
          <w:rFonts w:ascii="Arial" w:cs="Arial" w:eastAsia="Arial" w:hAnsi="Arial"/>
          <w:sz w:val="16"/>
          <w:szCs w:val="16"/>
          <w:i w:val="1"/>
          <w:iCs w:val="1"/>
          <w:color w:val="auto"/>
        </w:rPr>
        <w:t>Apple</w:t>
      </w:r>
      <w:r>
        <w:rPr>
          <w:rFonts w:ascii="Arial" w:cs="Arial" w:eastAsia="Arial" w:hAnsi="Arial"/>
          <w:sz w:val="16"/>
          <w:szCs w:val="16"/>
          <w:color w:val="auto"/>
        </w:rPr>
        <w:t xml:space="preserve">, and </w:t>
      </w:r>
      <w:r>
        <w:rPr>
          <w:rFonts w:ascii="Arial" w:cs="Arial" w:eastAsia="Arial" w:hAnsi="Arial"/>
          <w:sz w:val="16"/>
          <w:szCs w:val="16"/>
          <w:i w:val="1"/>
          <w:iCs w:val="1"/>
          <w:color w:val="auto"/>
        </w:rPr>
        <w:t>Amazon</w:t>
      </w:r>
      <w:r>
        <w:rPr>
          <w:rFonts w:ascii="Arial" w:cs="Arial" w:eastAsia="Arial" w:hAnsi="Arial"/>
          <w:sz w:val="16"/>
          <w:szCs w:val="16"/>
          <w:color w:val="auto"/>
        </w:rPr>
        <w:t xml:space="preserve"> platforms, with some games available on the </w:t>
      </w:r>
      <w:r>
        <w:rPr>
          <w:rFonts w:ascii="Arial" w:cs="Arial" w:eastAsia="Arial" w:hAnsi="Arial"/>
          <w:sz w:val="16"/>
          <w:szCs w:val="16"/>
          <w:i w:val="1"/>
          <w:iCs w:val="1"/>
          <w:color w:val="auto"/>
        </w:rPr>
        <w:t xml:space="preserve">Microsoft </w:t>
      </w:r>
      <w:r>
        <w:rPr>
          <w:rFonts w:ascii="Arial" w:cs="Arial" w:eastAsia="Arial" w:hAnsi="Arial"/>
          <w:sz w:val="16"/>
          <w:szCs w:val="16"/>
          <w:color w:val="auto"/>
        </w:rPr>
        <w:t>platform, which also serve as significant online distribution platforms for our games. Substantially all of our SciPlay revenue is generated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players using those platforms. Consequently, our expansion and prospects of our SciPlay offerings depend on our continued relationships with these providers, and any emerging platform providers that are widely adopted by our target player base. Our relationships with </w:t>
      </w:r>
      <w:r>
        <w:rPr>
          <w:rFonts w:ascii="Arial" w:cs="Arial" w:eastAsia="Arial" w:hAnsi="Arial"/>
          <w:sz w:val="16"/>
          <w:szCs w:val="16"/>
          <w:i w:val="1"/>
          <w:iCs w:val="1"/>
          <w:color w:val="auto"/>
        </w:rPr>
        <w:t>Facebook</w:t>
      </w:r>
      <w:r>
        <w:rPr>
          <w:rFonts w:ascii="Arial" w:cs="Arial" w:eastAsia="Arial" w:hAnsi="Arial"/>
          <w:sz w:val="16"/>
          <w:szCs w:val="16"/>
          <w:color w:val="auto"/>
        </w:rPr>
        <w:t xml:space="preserve">, </w:t>
      </w:r>
      <w:r>
        <w:rPr>
          <w:rFonts w:ascii="Arial" w:cs="Arial" w:eastAsia="Arial" w:hAnsi="Arial"/>
          <w:sz w:val="16"/>
          <w:szCs w:val="16"/>
          <w:i w:val="1"/>
          <w:iCs w:val="1"/>
          <w:color w:val="auto"/>
        </w:rPr>
        <w:t>Google</w:t>
      </w:r>
      <w:r>
        <w:rPr>
          <w:rFonts w:ascii="Arial" w:cs="Arial" w:eastAsia="Arial" w:hAnsi="Arial"/>
          <w:sz w:val="16"/>
          <w:szCs w:val="16"/>
          <w:color w:val="auto"/>
        </w:rPr>
        <w:t xml:space="preserve">, </w:t>
      </w:r>
      <w:r>
        <w:rPr>
          <w:rFonts w:ascii="Arial" w:cs="Arial" w:eastAsia="Arial" w:hAnsi="Arial"/>
          <w:sz w:val="16"/>
          <w:szCs w:val="16"/>
          <w:i w:val="1"/>
          <w:iCs w:val="1"/>
          <w:color w:val="auto"/>
        </w:rPr>
        <w:t>Apple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Amazon </w:t>
      </w:r>
      <w:r>
        <w:rPr>
          <w:rFonts w:ascii="Arial" w:cs="Arial" w:eastAsia="Arial" w:hAnsi="Arial"/>
          <w:sz w:val="16"/>
          <w:szCs w:val="16"/>
          <w:color w:val="auto"/>
        </w:rPr>
        <w:t>and</w:t>
      </w:r>
      <w:r>
        <w:rPr>
          <w:rFonts w:ascii="Arial" w:cs="Arial" w:eastAsia="Arial" w:hAnsi="Arial"/>
          <w:sz w:val="16"/>
          <w:szCs w:val="16"/>
          <w:i w:val="1"/>
          <w:iCs w:val="1"/>
          <w:color w:val="auto"/>
        </w:rPr>
        <w:t xml:space="preserve"> Microsoft </w:t>
      </w:r>
      <w:r>
        <w:rPr>
          <w:rFonts w:ascii="Arial" w:cs="Arial" w:eastAsia="Arial" w:hAnsi="Arial"/>
          <w:sz w:val="16"/>
          <w:szCs w:val="16"/>
          <w:color w:val="auto"/>
        </w:rPr>
        <w:t>are not governed by contracts but rather by these platform providers’ standard terms and conditions for application developers,</w:t>
      </w:r>
      <w:r>
        <w:rPr>
          <w:rFonts w:ascii="Arial" w:cs="Arial" w:eastAsia="Arial" w:hAnsi="Arial"/>
          <w:sz w:val="16"/>
          <w:szCs w:val="16"/>
          <w:i w:val="1"/>
          <w:iCs w:val="1"/>
          <w:color w:val="auto"/>
        </w:rPr>
        <w:t xml:space="preserve"> </w:t>
      </w:r>
      <w:r>
        <w:rPr>
          <w:rFonts w:ascii="Arial" w:cs="Arial" w:eastAsia="Arial" w:hAnsi="Arial"/>
          <w:sz w:val="16"/>
          <w:szCs w:val="16"/>
          <w:color w:val="auto"/>
        </w:rPr>
        <w:t>which govern the promotion, distribution and operation of games and other applications on their platforms, and which the platform providers can change unilaterally on short or without notice. Version updates, such as Apple's iOS 14.5 update in April 2021 which included changes to its AppTracking Transparency policy and now requires user permission before developers can track a user across apps and websites owned by other companies or access a user’s device’s advertising identifier, which has reduced the quantity and quality of data available to us. These changes could, among other things, have a detrimental impact on our ability to conduct targeted advertising on platforms, increase the cost to obtain new users and impact the return on investment of advertising spend. Our SciPlay business will also be adversely impacted if we are unable to continue these relationships in the future or if the terms and conditions offered by these providers are altered to our disadvantage. For instance, if any of these providers were to increase their fees, our results of operations, cash flows and financial condition would suffer.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SciPlay business would be harmed if:</w:t>
      </w:r>
    </w:p>
    <w:p>
      <w:pPr>
        <w:spacing w:after="0" w:line="15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platform providers discontinue or limit our access to their platforms;</w:t>
      </w:r>
    </w:p>
    <w:p>
      <w:pPr>
        <w:spacing w:after="0" w:line="15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governments or private parties, such as internet providers, impose bandwidth restrictions or increase charges or restrict or prohibit access to those platforms;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platforms decline in popularity;</w:t>
      </w:r>
    </w:p>
    <w:p>
      <w:pPr>
        <w:spacing w:after="0" w:line="15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platforms modify their current discovery mechanisms, communication channels available to developers, respective terms of service or other policies, including fees;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platforms impose restrictions or make it more difficult for players to buy coins, chips and cards; or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these platforms change how the personal information of players is made available to developers or develop their own competitive offerings.</w:t>
      </w:r>
    </w:p>
    <w:p>
      <w:pPr>
        <w:spacing w:after="0" w:line="16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alternative platforms increase in popularity, we could be adversely impacted if we fail to create compatible versions of our games in a timely manner, or if we fail to establish a relationship with such alternative platforms. Likewise, if our platform providers alter their operating platforms, we could be adversely impacted as our offerings may not be compatible with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3" w:name="page34"/>
    <w:bookmarkEnd w:id="33"/>
    <w:p>
      <w:pPr>
        <w:ind w:right="480"/>
        <w:spacing w:after="0" w:line="311" w:lineRule="auto"/>
        <w:rPr>
          <w:sz w:val="20"/>
          <w:szCs w:val="20"/>
          <w:color w:val="auto"/>
        </w:rPr>
      </w:pPr>
      <w:r>
        <w:rPr>
          <w:rFonts w:ascii="Arial" w:cs="Arial" w:eastAsia="Arial" w:hAnsi="Arial"/>
          <w:sz w:val="16"/>
          <w:szCs w:val="16"/>
          <w:color w:val="auto"/>
        </w:rPr>
        <w:t>the altered platforms or may require significant and costly modifications in order to become compatible. If our platform providers were to develop competitive offerings, either on their own or in cooperation with one or more competitors, our growth prospects could be negatively impacted. If our platform providers do not perform these functions in accordance with our platform agreements, we could be adversely impacted.</w:t>
      </w:r>
    </w:p>
    <w:p>
      <w:pPr>
        <w:spacing w:after="0" w:line="8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 xml:space="preserve">In the past, some of these platform providers have been unavailable for short periods of time or experienced issues with their features that permit our players to purchase coins, chips and cards. For example, in the second and third quarters of 2018, we were negatively impacted by data privacy protection changes implemented by </w:t>
      </w:r>
      <w:r>
        <w:rPr>
          <w:rFonts w:ascii="Arial" w:cs="Arial" w:eastAsia="Arial" w:hAnsi="Arial"/>
          <w:sz w:val="16"/>
          <w:szCs w:val="16"/>
          <w:i w:val="1"/>
          <w:iCs w:val="1"/>
          <w:color w:val="auto"/>
        </w:rPr>
        <w:t>Facebook</w:t>
      </w:r>
      <w:r>
        <w:rPr>
          <w:rFonts w:ascii="Arial" w:cs="Arial" w:eastAsia="Arial" w:hAnsi="Arial"/>
          <w:sz w:val="16"/>
          <w:szCs w:val="16"/>
          <w:color w:val="auto"/>
        </w:rPr>
        <w:t>, which impaired our players’ ability to access their previously acquired coins, chips and cards and purchase additional coins, chips and cards. If similar events recur on a prolonged basis or other similar issues arise that impact players’ ability to download our games, access social features or purchase coins, chips and cards, it could have a material adverse effect on our revenue, operating results and brand.</w:t>
      </w:r>
    </w:p>
    <w:p>
      <w:pPr>
        <w:spacing w:after="0" w:line="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future results of operations may be negatively impacted by ownership changes and consolidation in the gaming industry, including by casino operators.</w:t>
      </w:r>
    </w:p>
    <w:p>
      <w:pPr>
        <w:spacing w:after="0" w:line="103"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As repeat customers represent a substantial part of our Gaming business revenue, our business, results of operations, cash flow and financial condition could be negatively affected if our casino customers are sold to or merge with other entities. Such entities may purchase more products and services from our competitors, reduce spending on our products or cause downward pricing pressures. Consolidation among casino operators could result in order cancellations or a slowing in the replacement cycle for existing gaming machines, or could require our current customers to purchase our competitors’ products, any of which could negatively impact our Gaming business.</w:t>
      </w:r>
    </w:p>
    <w:p>
      <w:pPr>
        <w:spacing w:after="0" w:line="10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results of operations fluctuate due to seasonality and other factors and, therefore, our periodic operating results are not guarantees of future performance.</w:t>
      </w:r>
    </w:p>
    <w:p>
      <w:pPr>
        <w:spacing w:after="0" w:line="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results of operations can fluctuate due to seasonal trends and other factors. Sales of our gaming machines to casinos are generally strongest in the spring and slowest in the summer, while revenue from our Participation gaming machines is generally strongest in the spring and summer. Player activity for our SciPlay business is generally slower in the second and third quarters of the year, particularly during the summer months. Certain other seasonal trends and factors that may cause our results to fluctuate include: the geographies where we operate; holiday and vacation seasons; climate; weather; economic and political conditions; timing of the release of new products; significant equipment sales or the introduction of gaming activities in new jurisdictions or to new customers; and other factors.</w:t>
      </w:r>
    </w:p>
    <w:p>
      <w:pPr>
        <w:spacing w:after="0" w:line="1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In light of the foregoing, results for any quarter are not necessarily indicative of the results that may be achieved in another quarter or for the full fiscal year. We cannot assure that the seasonal trends and other factors that have impacted our historical results will repeat in future periods as we cannot influence or forecast many of these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Technology</w:t>
      </w:r>
    </w:p>
    <w:p>
      <w:pPr>
        <w:spacing w:after="0" w:line="135"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Our success depends on the security and integrity of the systems and products we offer, and security breaches or other disruptions could compromise our information or the information of our customers and expose us to liability, which would cause our business and reputation to suffer.</w:t>
      </w:r>
    </w:p>
    <w:p>
      <w:pPr>
        <w:spacing w:after="0" w:line="3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believe that our success depends, in large part, on providing secure products, services and systems to our customers, and on our ability to avoid, detect, replicate and correct software and hardware anomalies and fraudulent manipulation of our products and services. Our businesses sometimes involve the storage, processing and transmission of players’ proprietary, confidential and personal information. We also maintain certain other proprietary and confidential information relating to our business and personal information of our personnel. All of our products and services are designed with security features to prevent fraudulent activity. However, we cannot guarantee that these security features will effectively stop all fraudulent activities. Despite our security measures, our products, services and systems are vulnerable to attacks by hackers, customers, retailers, vendors or employees or breached due to malfeasance or other disruptions. Any security breach or incident that we experience could result in unauthorized access to, misuse of, or unauthorized acquisition of our or our players’ data, the loss, corruption or alteration of this data, interruptions in our operations or damage to our computers or systems or those of our players or third-party platforms. Any of these could expose us to claims, litigation, fines and potential liability. Our ability to prevent anomalies and monitor and ensure the quality and integrity of our products and services is periodically reviewed and enhanced, but may not be sufficient to prevent future attacks, breaches or disruptions. Similarly, we regularly assess the adequacy of our security systems, including the security of our games and software, to protect against any material loss to any of our customers and our players, as well as the integrity of our products and services to end users and the integrity of our games to players. Expanded use of the internet and other interactive technologies may result in increased security risks for us and our customers. We cannot assure that our business or a business we acquire will not be or has not been affected by fraudulent activities or a security breach or lapse, which could have a material adverse impact on our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4" w:name="page35"/>
    <w:bookmarkEnd w:id="34"/>
    <w:p>
      <w:pPr>
        <w:ind w:right="100" w:firstLine="648"/>
        <w:spacing w:after="0" w:line="289" w:lineRule="auto"/>
        <w:rPr>
          <w:sz w:val="20"/>
          <w:szCs w:val="20"/>
          <w:color w:val="auto"/>
        </w:rPr>
      </w:pPr>
      <w:r>
        <w:rPr>
          <w:rFonts w:ascii="Arial" w:cs="Arial" w:eastAsia="Arial" w:hAnsi="Arial"/>
          <w:sz w:val="16"/>
          <w:szCs w:val="16"/>
          <w:color w:val="auto"/>
        </w:rPr>
        <w:t>Online transactions may be subject to sophisticated schemes to defraud, launder money or other illegal activities. There is a risk that our products or systems may be used for those purposes by our customers’ players. There is also a risk that we will be subject to fraudulent activities by our employees. In addition, our gaming machines have experienced anomalies and fraudulent manipulation in the past. Games and gaming machines may be replaced by casinos and other gaming machine operators if they do not perform according to expectations, or they may be shut down by regulators. The occurrence of anomalies in, or fraudulent manipulation of, our gaming machines or our other products and services (including our SciPlay and iGaming products and services), may give rise to claims from players or customers, may lead to claims for lost revenue and profits and related litigation by our customers and may subject us to investigation or other action by regulatory authorities, including suspension or revocation of our licenses or other disciplinary action. Additionally, in the event of the occurrence of any such issues with our products and services, substantial engineering and marketing resources may be diverted from other projects to correct these issues, which may delay other projects and the achievement of our strategic objectives.</w:t>
      </w:r>
    </w:p>
    <w:p>
      <w:pPr>
        <w:spacing w:after="0" w:line="9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An increasing number of online services have disclosed security breaches, some of which have involved sophisticated and highly targeted attacks on portions of their services.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Any actual or perceived breach of our security, or the security of a business we acquire, occurs, public perception of the effectiveness of our security measures and brand, or the security measures and brand of a business we acquire, could be harmed, and we could lose players. Data security breaches and other data security incidents may also result from non-technical means, for example, actions by employees or contractors. Any compromise of our security, or the security of a business we acquire, could result in a violation of applicable privacy and other laws, regulatory or other governmental investigations, enforcement actions, and legal and financial exposure, including potential contractual liability that is not always limited to the amounts covered by our insurance. Any such compromise could also result in damage to our reputation and a loss of confidence in our security measures. Any of these effects could have a material adverse impact on our results of operations, cash flows and financial condition.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the protection of our intellectual property and proprietary information.</w:t>
      </w:r>
    </w:p>
    <w:p>
      <w:pPr>
        <w:spacing w:after="0" w:line="158"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We believe that our success depends, in part, on protecting our intellectual property in the U.S. and in foreign countries. Our intellectual property includes certain patents, trademarks and copyrights relating to our products and services (including gaming machines, digital gaming products, table games, shufflers and accessories, and gaming systems), and proprietary or confidential information that is not subject to patent or similar protection. Our success may depend, in part, on our ability to obtain protection for the trademarks, trade dress, names, logos or symbols under which we market our products and to obtain copyright and patent protection for our proprietary technologies, designs, software and innovations. We cannot assure that we will be able to build and maintain consumer value in our trademarks, obtain patent, trademark or copyright protection or that any patent, trademark or copyright will provide us with competitive advantages. In particular, the U.S. Supreme Court recently tightened the standard for patent eligibility of software patents. Despite revised U.S. Patent and Trademark Office guidelines in 2019, similar decisions in the future may negatively impact the validity or enforceability of certain of our patents, our ability to protect our inventions, innovations and new technology and the value of our substantial patent portfolio. Under a patent cross-licensing agreement with IGT, which relates to technology that is used in substantially all of our gaming machines, we can offer games using patented game features from the patent portfolios of other members of IGT’s slot game features program, and such members can likewise offer games using patented game features from our patent portfolio. This arrangement may diminish the competitive advantage our slot games may derive from our patents.</w:t>
      </w:r>
    </w:p>
    <w:p>
      <w:pPr>
        <w:spacing w:after="0" w:line="10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intellectual property protects the integrity of our games, systems, products and services. Competitors may independently develop similar or superior products, software or systems, which could negatively impact our results of operations, cash flows and financial condition. In cases where our technology or product is not protected by enforceable intellectual property rights, such independent development may result in a significant diminution in the value of such technology or product.</w:t>
      </w:r>
    </w:p>
    <w:p>
      <w:pPr>
        <w:spacing w:after="0" w:line="106"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also rely on trade secrets and proprietary knowledge. We enter into confidentiality agreements with our employees and independent contractors regarding our trade secrets and proprietary information, but we cannot assure that the obligation to maintain the confidentiality of our trade secrets and proprietary information will be honored.</w:t>
      </w:r>
    </w:p>
    <w:p>
      <w:pPr>
        <w:spacing w:after="0" w:line="11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are currently making, and in the future may make, claims of infringement, invalidity or enforceability against third parties. For example, with the emergence of digital gaming, we have increased enforcement against parties that infringe our intellectual property.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This enforcement could:</w:t>
      </w:r>
    </w:p>
    <w:p>
      <w:pPr>
        <w:spacing w:after="0" w:line="14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cause us to incur greater costs and expenses in the protection of our intellectual property;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negatively impact our intellectual property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cause one or more of our patents, trademarks, copyrights or other intellectual property interests to be ruled or rendered unenforceable or invalid; or</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divert management’s attention and our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ability to use the intellectual property rights of third parties.</w:t>
      </w:r>
    </w:p>
    <w:p>
      <w:pPr>
        <w:spacing w:after="0" w:line="158"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We rely on products, technologies and intellectual property that we license from third parties, including from our competitors, for use in our Gaming, SciPlay and iGaming businesses. Substantially all of our gaming machines and portions of our SciPlay and iGaming offerings and services use intellectual property licensed from third parties. The future success of our business may depend, in part, on our ability to obtain, retain and/or expand licenses for popular technologies and games in a competitive market. We cannot assure that these third</w:t>
      </w:r>
      <w:r>
        <w:rPr>
          <w:rFonts w:ascii="MS PGothic" w:cs="MS PGothic" w:eastAsia="MS PGothic" w:hAnsi="MS PGothic"/>
          <w:sz w:val="16"/>
          <w:szCs w:val="16"/>
          <w:color w:val="auto"/>
        </w:rPr>
        <w:t>‑</w:t>
      </w:r>
      <w:r>
        <w:rPr>
          <w:rFonts w:ascii="Arial" w:cs="Arial" w:eastAsia="Arial" w:hAnsi="Arial"/>
          <w:sz w:val="16"/>
          <w:szCs w:val="16"/>
          <w:color w:val="auto"/>
        </w:rPr>
        <w:t>party licenses, or support for such licensed products and technologies, will continue to be available to us on commercially reasonable terms, if at all. In the event that we cannot renew and/or expand existing licenses, we may be required to discontinue or limit our use of the products that include or incorporate the licensed intellectual property.</w:t>
      </w:r>
    </w:p>
    <w:p>
      <w:pPr>
        <w:spacing w:after="0" w:line="125" w:lineRule="exact"/>
        <w:rPr>
          <w:sz w:val="20"/>
          <w:szCs w:val="20"/>
          <w:color w:val="auto"/>
        </w:rPr>
      </w:pPr>
    </w:p>
    <w:p>
      <w:pPr>
        <w:ind w:right="40" w:firstLine="648"/>
        <w:spacing w:after="0" w:line="219" w:lineRule="exact"/>
        <w:rPr>
          <w:sz w:val="20"/>
          <w:szCs w:val="20"/>
          <w:color w:val="auto"/>
        </w:rPr>
      </w:pPr>
      <w:r>
        <w:rPr>
          <w:rFonts w:ascii="Arial" w:cs="Arial" w:eastAsia="Arial" w:hAnsi="Arial"/>
          <w:sz w:val="16"/>
          <w:szCs w:val="16"/>
          <w:color w:val="auto"/>
        </w:rPr>
        <w:t>Some of our license agreements contain minimum guaranteed royalty payments to the third party. If we are unable to generate sufficient revenue to offset the minimum guaranteed royalty payments, it could have a material adverse effect on our results of operations, cash flows and financial condition. Our license agreements typically contain restrictions on our ability to use or transfer the licensed rights in connection with certain strategic transactions. Certain of our license agreements grant the licensor rights to audit our use of the licensor’s intellectual property. Disputes with licensors over uses or terms could result in the payment of additional royalties or penalties by us, cancellation or non</w:t>
      </w:r>
      <w:r>
        <w:rPr>
          <w:rFonts w:ascii="MS PGothic" w:cs="MS PGothic" w:eastAsia="MS PGothic" w:hAnsi="MS PGothic"/>
          <w:sz w:val="16"/>
          <w:szCs w:val="16"/>
          <w:color w:val="auto"/>
        </w:rPr>
        <w:t>‑</w:t>
      </w:r>
      <w:r>
        <w:rPr>
          <w:rFonts w:ascii="Arial" w:cs="Arial" w:eastAsia="Arial" w:hAnsi="Arial"/>
          <w:sz w:val="16"/>
          <w:szCs w:val="16"/>
          <w:color w:val="auto"/>
        </w:rPr>
        <w:t>renewal of the underlying license or litigation.</w:t>
      </w:r>
    </w:p>
    <w:p>
      <w:pPr>
        <w:spacing w:after="0" w:line="136"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The regulatory review process and licensing requirements also may preclude us from using technologies owned or developed by third parties if those parties are unwilling to subject themselves to regulatory review or do not meet regulatory requirements. Some gaming authorities require gaming manufacturers to obtain approval before engaging in certain transactions, such as acquisitions, mergers, reorganizations, financings, stock offerings and share repurchases. Obtaining such approvals can be costly and time consuming, and we cannot assure that such approvals will be granted or that the approval process will not result in delays or disruptions to our strategic objectives.</w:t>
      </w:r>
    </w:p>
    <w:p>
      <w:pPr>
        <w:spacing w:after="0" w:line="109" w:lineRule="exact"/>
        <w:rPr>
          <w:sz w:val="20"/>
          <w:szCs w:val="20"/>
          <w:color w:val="auto"/>
        </w:rPr>
      </w:pPr>
    </w:p>
    <w:p>
      <w:pPr>
        <w:jc w:val="both"/>
        <w:ind w:right="300"/>
        <w:spacing w:after="0" w:line="381" w:lineRule="auto"/>
        <w:rPr>
          <w:sz w:val="20"/>
          <w:szCs w:val="20"/>
          <w:color w:val="auto"/>
        </w:rPr>
      </w:pPr>
      <w:r>
        <w:rPr>
          <w:rFonts w:ascii="Arial" w:cs="Arial" w:eastAsia="Arial" w:hAnsi="Arial"/>
          <w:sz w:val="15"/>
          <w:szCs w:val="15"/>
          <w:b w:val="1"/>
          <w:bCs w:val="1"/>
          <w:i w:val="1"/>
          <w:iCs w:val="1"/>
          <w:color w:val="auto"/>
        </w:rPr>
        <w:t>We rely on information technology and other systems, and any failures in our systems or errors, defects or disruptions in our products and services could diminish our brand and reputation, subject us to liability and have disrupted and could disrupt our business and adversely impact our results.</w:t>
      </w:r>
    </w:p>
    <w:p>
      <w:pPr>
        <w:spacing w:after="0" w:line="19"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We rely on information technology systems that are important to the operation of our business, some of which are managed by third parties. These third parties are typically under no obligation to renew agreements and there is no guarantee that we will be able to renew these agreements on commercially reasonable terms, or at all. These systems are used to process, transmit and store electronic information, to manage and support our business operations and to maintain internal control over our financial reporting. In addition, we collect and store certain data, including proprietary business information, and may have access to confidential or personal information in certain of our businesses that is subject to privacy and security laws, regulations and customer-imposed controls. We could encounter difficulties in developing new systems, maintaining and upgrading current systems and preventing security breaches. Among other things, our systems are susceptible to damage, outages, disruptions or shutdowns due to fire, floods, power loss, break</w:t>
      </w:r>
      <w:r>
        <w:rPr>
          <w:rFonts w:ascii="MS PGothic" w:cs="MS PGothic" w:eastAsia="MS PGothic" w:hAnsi="MS PGothic"/>
          <w:sz w:val="16"/>
          <w:szCs w:val="16"/>
          <w:color w:val="auto"/>
        </w:rPr>
        <w:t>‑</w:t>
      </w:r>
      <w:r>
        <w:rPr>
          <w:rFonts w:ascii="Arial" w:cs="Arial" w:eastAsia="Arial" w:hAnsi="Arial"/>
          <w:sz w:val="16"/>
          <w:szCs w:val="16"/>
          <w:color w:val="auto"/>
        </w:rPr>
        <w:t>ins, cyber</w:t>
      </w:r>
      <w:r>
        <w:rPr>
          <w:rFonts w:ascii="MS PGothic" w:cs="MS PGothic" w:eastAsia="MS PGothic" w:hAnsi="MS PGothic"/>
          <w:sz w:val="16"/>
          <w:szCs w:val="16"/>
          <w:color w:val="auto"/>
        </w:rPr>
        <w:t>‑</w:t>
      </w:r>
      <w:r>
        <w:rPr>
          <w:rFonts w:ascii="Arial" w:cs="Arial" w:eastAsia="Arial" w:hAnsi="Arial"/>
          <w:sz w:val="16"/>
          <w:szCs w:val="16"/>
          <w:color w:val="auto"/>
        </w:rPr>
        <w:t>attacks, network penetration, denial of service attacks and similar events. While we have and will continue to implement network security measures and data protection safeguards, our servers and other computer systems are vulnerable to any number of threats, including viruses, malicious software, hacking, break</w:t>
      </w:r>
      <w:r>
        <w:rPr>
          <w:rFonts w:ascii="MS PGothic" w:cs="MS PGothic" w:eastAsia="MS PGothic" w:hAnsi="MS PGothic"/>
          <w:sz w:val="16"/>
          <w:szCs w:val="16"/>
          <w:color w:val="auto"/>
        </w:rPr>
        <w:t>‑</w:t>
      </w:r>
      <w:r>
        <w:rPr>
          <w:rFonts w:ascii="Arial" w:cs="Arial" w:eastAsia="Arial" w:hAnsi="Arial"/>
          <w:sz w:val="16"/>
          <w:szCs w:val="16"/>
          <w:color w:val="auto"/>
        </w:rPr>
        <w:t>ins or theft, data privacy or security breaches, third</w:t>
      </w:r>
      <w:r>
        <w:rPr>
          <w:rFonts w:ascii="MS PGothic" w:cs="MS PGothic" w:eastAsia="MS PGothic" w:hAnsi="MS PGothic"/>
          <w:sz w:val="16"/>
          <w:szCs w:val="16"/>
          <w:color w:val="auto"/>
        </w:rPr>
        <w:t>‑</w:t>
      </w:r>
      <w:r>
        <w:rPr>
          <w:rFonts w:ascii="Arial" w:cs="Arial" w:eastAsia="Arial" w:hAnsi="Arial"/>
          <w:sz w:val="16"/>
          <w:szCs w:val="16"/>
          <w:color w:val="auto"/>
        </w:rPr>
        <w:t>party security breaches, employee error or malfeasance and similar events. Failures in our systems or services or unauthorized access to or tampering with our systems and databases could have a material adverse effect on our business, reputation, results of operations, cash flows and financial condition. Any failures in our computer systems or telecommunications services could affect our ability to operate our linked games or otherwise conduct business.</w:t>
      </w:r>
    </w:p>
    <w:p>
      <w:pPr>
        <w:spacing w:after="0" w:line="13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A meaningful portion of our SciPlay and iGaming gaming traffic is hosted by third-party data centers, such as </w:t>
      </w:r>
      <w:r>
        <w:rPr>
          <w:rFonts w:ascii="Arial" w:cs="Arial" w:eastAsia="Arial" w:hAnsi="Arial"/>
          <w:sz w:val="18"/>
          <w:szCs w:val="18"/>
          <w:i w:val="1"/>
          <w:iCs w:val="1"/>
          <w:color w:val="auto"/>
        </w:rPr>
        <w:t>Amazon Web Services</w:t>
      </w:r>
      <w:r>
        <w:rPr>
          <w:rFonts w:ascii="Arial" w:cs="Arial" w:eastAsia="Arial" w:hAnsi="Arial"/>
          <w:sz w:val="18"/>
          <w:szCs w:val="18"/>
          <w:color w:val="008080"/>
        </w:rPr>
        <w:t>,</w:t>
      </w:r>
      <w:r>
        <w:rPr>
          <w:rFonts w:ascii="Arial" w:cs="Arial" w:eastAsia="Arial" w:hAnsi="Arial"/>
          <w:sz w:val="18"/>
          <w:szCs w:val="18"/>
          <w:color w:val="auto"/>
        </w:rPr>
        <w:t xml:space="preserve"> or </w:t>
      </w:r>
      <w:r>
        <w:rPr>
          <w:rFonts w:ascii="Arial" w:cs="Arial" w:eastAsia="Arial" w:hAnsi="Arial"/>
          <w:sz w:val="18"/>
          <w:szCs w:val="18"/>
          <w:i w:val="1"/>
          <w:iCs w:val="1"/>
          <w:color w:val="auto"/>
        </w:rPr>
        <w:t>AWS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Continent 8 </w:t>
      </w:r>
      <w:r>
        <w:rPr>
          <w:rFonts w:ascii="Arial" w:cs="Arial" w:eastAsia="Arial" w:hAnsi="Arial"/>
          <w:sz w:val="18"/>
          <w:szCs w:val="18"/>
          <w:color w:val="auto"/>
        </w:rPr>
        <w:t>and</w:t>
      </w:r>
      <w:r>
        <w:rPr>
          <w:rFonts w:ascii="Arial" w:cs="Arial" w:eastAsia="Arial" w:hAnsi="Arial"/>
          <w:sz w:val="18"/>
          <w:szCs w:val="18"/>
          <w:i w:val="1"/>
          <w:iCs w:val="1"/>
          <w:color w:val="auto"/>
        </w:rPr>
        <w:t xml:space="preserve"> Claranet</w:t>
      </w:r>
      <w:r>
        <w:rPr>
          <w:rFonts w:ascii="Arial" w:cs="Arial" w:eastAsia="Arial" w:hAnsi="Arial"/>
          <w:sz w:val="18"/>
          <w:szCs w:val="18"/>
          <w:color w:val="auto"/>
        </w:rPr>
        <w:t>. Such third parties provide us with computing and storage capacity, and are under no obligation to renew the agreements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these services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lengthy service interruptions in connection with doing so, potentially causing harm to our reputation. If a game is unavailable or operates more slowly than anticipated when a player attempts to access it, that player may stop playing the game and be less likely to return to the game.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6" w:name="page37"/>
    <w:bookmarkEnd w:id="36"/>
    <w:p>
      <w:pPr>
        <w:ind w:right="40" w:firstLine="648"/>
        <w:spacing w:after="0" w:line="287" w:lineRule="auto"/>
        <w:rPr>
          <w:sz w:val="20"/>
          <w:szCs w:val="20"/>
          <w:color w:val="auto"/>
        </w:rPr>
      </w:pPr>
      <w:r>
        <w:rPr>
          <w:rFonts w:ascii="Arial" w:cs="Arial" w:eastAsia="Arial" w:hAnsi="Arial"/>
          <w:sz w:val="16"/>
          <w:szCs w:val="16"/>
          <w:color w:val="auto"/>
        </w:rPr>
        <w:t xml:space="preserve">Portions of our information technology infrastructure, including those operated by third parties, have and may again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We have no control over third parties that provide services to us and those parties could suffer problems or make decisions adverse to our business. We have contingency plans in place to prevent or mitigate the impact of these events. However, such disruptions could materially and adversely impact our ability to deliver products or services to customers and interrupt other processes. For example, in 2019, </w:t>
      </w:r>
      <w:r>
        <w:rPr>
          <w:rFonts w:ascii="Arial" w:cs="Arial" w:eastAsia="Arial" w:hAnsi="Arial"/>
          <w:sz w:val="16"/>
          <w:szCs w:val="16"/>
          <w:i w:val="1"/>
          <w:iCs w:val="1"/>
          <w:color w:val="auto"/>
        </w:rPr>
        <w:t>Flash</w:t>
      </w:r>
      <w:r>
        <w:rPr>
          <w:rFonts w:ascii="Arial" w:cs="Arial" w:eastAsia="Arial" w:hAnsi="Arial"/>
          <w:sz w:val="16"/>
          <w:szCs w:val="16"/>
          <w:color w:val="auto"/>
        </w:rPr>
        <w:t xml:space="preserve"> was removed from the </w:t>
      </w:r>
      <w:r>
        <w:rPr>
          <w:rFonts w:ascii="Arial" w:cs="Arial" w:eastAsia="Arial" w:hAnsi="Arial"/>
          <w:sz w:val="16"/>
          <w:szCs w:val="16"/>
          <w:i w:val="1"/>
          <w:iCs w:val="1"/>
          <w:color w:val="auto"/>
        </w:rPr>
        <w:t>Google Chrome</w:t>
      </w:r>
      <w:r>
        <w:rPr>
          <w:rFonts w:ascii="Arial" w:cs="Arial" w:eastAsia="Arial" w:hAnsi="Arial"/>
          <w:sz w:val="16"/>
          <w:szCs w:val="16"/>
          <w:color w:val="auto"/>
        </w:rPr>
        <w:t xml:space="preserve"> browser, resulting in player friction and disruptions in delivering our SciPlay and iGaming services to our customers. If our information systems do not allow us to transmit accurate information, even for a short period of time, to key decision makers, the ability to manage our business could be disrupted and our results of operations, cash flows and financial condition could be materially and adversely affected. Failure to properly or adequately address these issues could impact our ability to perform necessary business operations, which could materially and adversely affect our reputation, competitive position, results of operations, cash flows and financial condition.</w:t>
      </w:r>
    </w:p>
    <w:p>
      <w:pPr>
        <w:spacing w:after="0" w:line="10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Several of our products and services rely on data transferred over the internet. Access to the internet in a timely fashion is necessary to provide a satisfactory user experience to the consumers of our products. Third parties, such as telecommunications companies, could prevent access to the internet or limit the speed of our data transmissions, with or without reason, causing an adverse impact on our user experience that may materially and adversely affect our reputation, competitive position, results of operations, cash flows and financial condition. In addition, telecommunications companies may implement certain measures, such as increased cost or restrictions based on the type or amount of data transmitted, that would impact consumers’ ability to access our products, which could materially and adversely affect our reputation, competitive position, results of operations, cash flows and financial condition. Furthermore, internet penetration may be adversely affected by difficult global economic conditions or the cancellation of government programs to expand broadband access.</w:t>
      </w:r>
    </w:p>
    <w:p>
      <w:pPr>
        <w:spacing w:after="0" w:line="111"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If we or a company we acquire sustains cyber-attacks or other privacy or data security incidents that result in security breaches, we could suffer a loss of sales and increased costs, exposure to significant liability, reputational harm, regulatory fines or punishment and other negative consequences.</w:t>
      </w:r>
    </w:p>
    <w:p>
      <w:pPr>
        <w:spacing w:after="0" w:line="33"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Our information technology systems and infrastructure are subject to cyber-attacks, viruses, malicious software, break-ins, theft, computer hacking, employee error or malfeasance or other security breaches. Hackers and data thieves are increasingly sophisticated and operate large-scale and complex automated attacks. Threats to our information technology systems and infrastructure include:</w:t>
      </w:r>
    </w:p>
    <w:p>
      <w:pPr>
        <w:spacing w:after="0" w:line="116" w:lineRule="exact"/>
        <w:rPr>
          <w:sz w:val="20"/>
          <w:szCs w:val="20"/>
          <w:color w:val="auto"/>
        </w:rPr>
      </w:pPr>
    </w:p>
    <w:p>
      <w:pPr>
        <w:ind w:left="660" w:right="1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experienced computer programmers and hackers who are able to penetrate our security controls and misappropriate or compromise sensitive personal, proprietary or confidential information, create system disruptions or cause shutdowns or who are able to develop and deploy malicious software programs that attack our systems or otherwise exploit any security vulnerabilities;</w:t>
      </w:r>
    </w:p>
    <w:p>
      <w:pPr>
        <w:spacing w:after="0" w:line="102" w:lineRule="exact"/>
        <w:rPr>
          <w:rFonts w:ascii="Arial" w:cs="Arial" w:eastAsia="Arial" w:hAnsi="Arial"/>
          <w:sz w:val="18"/>
          <w:szCs w:val="18"/>
          <w:color w:val="auto"/>
        </w:rPr>
      </w:pPr>
    </w:p>
    <w:p>
      <w:pPr>
        <w:ind w:left="660" w:right="18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security incidents, acts of vandalism or theft, coordinated attacks by activist entities, misplaced or lost data, human errors or other similar events that could negatively affect our systems and the data stored on those systems, and the data of our business partners;</w:t>
      </w:r>
    </w:p>
    <w:p>
      <w:pPr>
        <w:spacing w:after="0" w:line="78"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parties, such as hosted solution providers, that provide services to us, are also a source of security risk in the event of a failure of their own security systems and infrastructure.</w:t>
      </w:r>
    </w:p>
    <w:p>
      <w:pPr>
        <w:spacing w:after="0" w:line="10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costs to eliminate or address the foregoing security threats and vulnerabilities before or after a cyber incident could be significant. Our remediation efforts may not be successful and could result in interruptions, delays or cessation of service, and loss of existing or potential suppliers or customers. In addition, breaches of our security measures and the unauthorized dissemination of sensitive personal, proprietary or confidential information about us, our business partners or other third parties could expose us to significant potential liability and reputational harm. As threats related to cyber-attacks develop and grow, we may also find it necessary to make further investments to protect our data and infrastructure, which may impact our results of operations. Although we have insurance coverage for protecting against damages resulting from cyber-attacks, it may not be sufficient to cover all possible claims, and we may suffer losses that could have a material adverse effect on our business. Our insurance coverage for protecting against damages resulting from cyber-attacks does not cover incidents which occur at companies we acquire after such cyber-attack. As a global enterprise, we could also be negatively impacted by existing and proposed U.S. and non- U.S. laws and regulations, and government policies and practices related to cybersecurity, data privacy, data localization and data protection. In addition, our customers may encourage, or require, compliance with certain security standards, such as the voluntary cybersecurity framework released by the National Institute of Standards and Technology (NIST), which consists of controls designed to identify and manage cyber-security risks, and we could be negatively impacted to the extent we are unable to comply with such standards.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7" w:name="page38"/>
    <w:bookmarkEnd w:id="37"/>
    <w:p>
      <w:pPr>
        <w:ind w:right="40"/>
        <w:spacing w:after="0" w:line="277" w:lineRule="auto"/>
        <w:rPr>
          <w:sz w:val="20"/>
          <w:szCs w:val="20"/>
          <w:color w:val="auto"/>
        </w:rPr>
      </w:pPr>
      <w:r>
        <w:rPr>
          <w:rFonts w:ascii="Arial" w:cs="Arial" w:eastAsia="Arial" w:hAnsi="Arial"/>
          <w:sz w:val="18"/>
          <w:szCs w:val="18"/>
          <w:b w:val="1"/>
          <w:bCs w:val="1"/>
          <w:i w:val="1"/>
          <w:iCs w:val="1"/>
          <w:color w:val="auto"/>
        </w:rPr>
        <w:t>The intellectual property rights of others may prevent us from developing new products and services, entering new markets or may expose us to liability or costly litigation.</w:t>
      </w:r>
    </w:p>
    <w:p>
      <w:pPr>
        <w:spacing w:after="0" w:line="10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success depends in part on our ability to continually adapt our products and systems to incorporate new technologies and to expand into markets that may be created by new technologies. If technologies are protected by the intellectual property rights of others, including our competitors, we may be prevented from introducing products based on these technologies or expanding into markets created by these technologies. If the intellectual property rights of others prevent us from taking advantage of innovative technologies, our prospects, results of operations, cash flows and financial condition may be adversely affected.</w:t>
      </w:r>
    </w:p>
    <w:p>
      <w:pPr>
        <w:spacing w:after="0" w:line="10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cannot assure that our business activities, games, products, services and systems will not infringe upon the proprietary rights of others, or that other parties will not assert infringement claims against us. In addition to infringement claims, third parties may allege claims of invalidity or unenforceability against us or against our licensees or manufacturers in connection with their use of our technology. A successful challenge to, or invalidation of, one of our intellectual property interests, a successful claim of infringement by a third party against us, our products or services, or one of our licensees in connection with the use of our technologies, or an unsuccessful claim of infringement made by us against a third party or its products or services could adversely affect our business or cause us financial harm. Any such claim and any resulting litigation, should it occur, could:</w:t>
      </w:r>
    </w:p>
    <w:p>
      <w:pPr>
        <w:spacing w:after="0" w:line="9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expensive and time consuming to defend or require us to pay significant amounts in damages;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invalidate our proprietary rights;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cause us to cease making, licensing or using products or services that incorporate the challenged intellectual property;</w:t>
      </w:r>
    </w:p>
    <w:p>
      <w:pPr>
        <w:spacing w:after="0" w:line="157"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redesign, reengineer or rebrand our products or services or limit our ability to bring new products and services to the market in the future;</w:t>
      </w:r>
    </w:p>
    <w:p>
      <w:pPr>
        <w:spacing w:after="0" w:line="102"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enter into costly or burdensome royalty, licensing or settlement agreements in order to obtain the right to use a product, process or component;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impact the commercial viability of the products and services that are the subject of the claim during the pendency of such claim; and/or</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by way of injunction to remove products or services on lease or stop selling or leasing new products or services.</w:t>
      </w:r>
    </w:p>
    <w:p>
      <w:pPr>
        <w:spacing w:after="0" w:line="1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Failure of our technological blocking systems could result in violations of laws or regulations and have a material adverse effect on our operations, financial performance and prospects.</w:t>
      </w:r>
    </w:p>
    <w:p>
      <w:pPr>
        <w:spacing w:after="0" w:line="8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There is no guarantee that the technical blocks we implement and which our customers implement will be effective. These systems and controls are intended to ensure that our customers do not accept bets from end-users located in those jurisdictions where we have made a decision not to offer all or certain of our products and services. Any failure of such systems and controls may result in violations of applicable laws or regulations. Any claims in respect of any such violations could have cost, resource, and, in particular if successful, reputational implications, and implications on our ability to retain, renew or expand our portfolio of licenses, and so have a material adverse effect on our operations, financial performance and prospects.</w:t>
      </w:r>
    </w:p>
    <w:p>
      <w:pPr>
        <w:spacing w:after="0" w:line="9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Moreover, there is an additional, ongoing risk that the current list of jurisdictions from which our customers and the Company must block access is enlarged, as there is a possibility that regulators who grant licenses to customers and/or the Company will require the blocking of specific additional jurisdictions. Similarly, jurisdictions may update their laws or regulations in such a way as to render the supply of gaming services into that jurisdiction legally or commercially unsustainable. In all such circumstances, additional blocking activity may have a detrimental effect on our financial position.</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implement our global enterprise resource planning system conversion, it could disrupt our business or have a material adverse effect on our results of operations, cash flows and financial condition.</w:t>
      </w:r>
    </w:p>
    <w:p>
      <w:pPr>
        <w:spacing w:after="0" w:line="89" w:lineRule="exact"/>
        <w:rPr>
          <w:sz w:val="20"/>
          <w:szCs w:val="20"/>
          <w:color w:val="auto"/>
        </w:rPr>
      </w:pPr>
    </w:p>
    <w:p>
      <w:pPr>
        <w:ind w:right="80" w:firstLine="648"/>
        <w:spacing w:after="0" w:line="219" w:lineRule="exact"/>
        <w:rPr>
          <w:sz w:val="20"/>
          <w:szCs w:val="20"/>
          <w:color w:val="auto"/>
        </w:rPr>
      </w:pPr>
      <w:r>
        <w:rPr>
          <w:rFonts w:ascii="Arial" w:cs="Arial" w:eastAsia="Arial" w:hAnsi="Arial"/>
          <w:sz w:val="17"/>
          <w:szCs w:val="17"/>
          <w:color w:val="auto"/>
        </w:rPr>
        <w:t>We are engaged in a multi-year conversion from certain legacy ERP systems to our primary global ERP system. The ERP system is designed to accurately maintain our books and records and provide information on our operations to management. Our ERP system migration will continue to require significant investment of human and financial resources. There are inherent risks associated with upgrading or changing systems, including inaccurate data or reporting. The process of upgrading and standardizing our ERP system is complex, time</w:t>
      </w:r>
      <w:r>
        <w:rPr>
          <w:rFonts w:ascii="MS PGothic" w:cs="MS PGothic" w:eastAsia="MS PGothic" w:hAnsi="MS PGothic"/>
          <w:sz w:val="17"/>
          <w:szCs w:val="17"/>
          <w:color w:val="auto"/>
        </w:rPr>
        <w:t>‑</w:t>
      </w:r>
      <w:r>
        <w:rPr>
          <w:rFonts w:ascii="Arial" w:cs="Arial" w:eastAsia="Arial" w:hAnsi="Arial"/>
          <w:sz w:val="17"/>
          <w:szCs w:val="17"/>
          <w:color w:val="auto"/>
        </w:rPr>
        <w:t>consuming and expensive. Although we believe we are taking appropriate action to mitigate these risks through, among other things, testing, training and staging implementations, we cannot assure that we will not experience data loss, disruptions, delays or negative business impacts from the upgrades. 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ind w:right="180"/>
        <w:spacing w:after="0" w:line="259" w:lineRule="auto"/>
        <w:rPr>
          <w:sz w:val="20"/>
          <w:szCs w:val="20"/>
          <w:color w:val="auto"/>
        </w:rPr>
      </w:pPr>
      <w:r>
        <w:rPr>
          <w:rFonts w:ascii="Arial" w:cs="Arial" w:eastAsia="Arial" w:hAnsi="Arial"/>
          <w:sz w:val="18"/>
          <w:szCs w:val="18"/>
          <w:color w:val="auto"/>
        </w:rPr>
        <w:t>operational disruptions during the course of this process and any delays or deficiencies in the design and implementation of the new ERP system or in the performance of our legacy systems could materially and adversely affect our ability to operate our businesses. Additionally, while we have spent considerable efforts to plan and budget for the implementation of the new ERP system, changes in scope, timeline or cost could have a material adverse effect on our results of operations, cash flows and financial condition.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Legal, Political or Other Regulatory Risks</w:t>
      </w:r>
    </w:p>
    <w:p>
      <w:pPr>
        <w:spacing w:after="0" w:line="14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The provisions of our bylaws requiring exclusive forum in the Eighth Judicial District Court of Clark County, Nevada for certain types of lawsuits may have the effect of discouraging lawsuits against our directors and officers.</w:t>
      </w:r>
    </w:p>
    <w:p>
      <w:pPr>
        <w:spacing w:after="0" w:line="10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bylaws provide that, to the fullest extent permitted by law, and unless we consent in writing to the selection of an alternative forum, the Eighth Judicial District Court of Clark County, Nevada, will be the sole and exclusive forum for any actions, suits or proceedings, whether civil, administrative or investigative or that assert any claim or counterclaim (i) brought in our name or right or on our behalf, (ii) asserting a claim for breach of any fiduciary duty owed by any of our directors, officers, employees or agents to us or our stockholders, (iii) arising or asserting a claim arising pursuant to any provision of Nevada Revised Statutes (“NRS”), Chapters 78 or 92A or any provision of our articles of incorporation or our bylaws or (iv) asserting a claim governed by the internal affairs doctrine. Our bylaws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 Application of the choice of forum provisions may be limited in some instances by law. Section 27 of the Exchange Act establishes exclusive federal jurisdiction over all suits brought to enforce any duty or liability created by the Exchange Act or the rules and regulations thereunder. In addition, Section 22 of the Securities Act provides that federal and state courts have concurrent jurisdiction over lawsuits brought to enforce any duty or liability created by the Securities Act or the rules and regulations thereunder. To the extent our bylaws restrict the courts in which claims arising under the federal securities laws may be brought, there is uncertainty as to whether a court would enforce such a provision and we note that our stockholders will not be deemed to have waived our compliance with the federal securities laws and the rules and regulations thereunder.</w:t>
      </w:r>
    </w:p>
    <w:p>
      <w:pPr>
        <w:spacing w:after="0" w:line="1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Although we believe these provisions benefit us by providing increased consistency in the application of Nevada law in the types of lawsuits to which they apply, these provisions may have the effect of increasing the costs to bring a claim, and limiting a stockholder’s ability to bring a claim in a judicial forum that it finds favorable for disputes with us or our directors and officers. This may discourage lawsuits against us or our directors and officers. The enforceability of similar choice of forum provisions in other companies’ articles of incorporation and bylaws has been challenged in legal proceedings, and it is possible that, in connection with any applicable action brought against us, a court could find the choice of forum provisions contained in our bylaws to be inapplicable or unenforceable in such action. If a court were to find the choice of forum provisions contained in our bylaws to be inapplicable or unenforceable in an action, we may incur additional costs associated with resolving such action in other jurisdictions, which could adversely affect our business, financial condition, or results of operations.</w:t>
      </w:r>
    </w:p>
    <w:p>
      <w:pPr>
        <w:spacing w:after="0" w:line="9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and our industries are subject to strict government regulations that may limit our existing operations, have an adverse impact on our ability to grow and affect our license eligibility or expose us to fines or other penalties.</w:t>
      </w:r>
    </w:p>
    <w:p>
      <w:pPr>
        <w:spacing w:after="0" w:line="103"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In the U.S. and many other countries, the provision of Gaming, SciPlay and iGaming products and services is subject to extensive and evolving regulation. These regulatory requirements vary from jurisdiction to jurisdiction. Therefore, we are subject to a wide range of complex laws and regulations in the jurisdictions in which we are licensed or operate. Most jurisdictions require that we be licensed, that our key personnel and certain of our security holders be found suitable or be licensed, and that our products be reviewed and approved before placement. Licenses, approvals or findings of suitability may be revoked, suspended or conditioned. If a license, approval or finding of suitability is required by a regulatory authority and we fail to seek or do not receive the necessary approval, license or finding of suitability, or if it is granted and subsequently revoked, then we may be prohibited from providing our products or services for use in the particular jurisdiction. In addition, the loss of a license in one jurisdiction could trigger the loss of a license, or affect our eligibility for a license, in other jurisdictions. We may also become subject to regulation in any new jurisdictions in which we decide to operate in the future, including due to expansion of a customer’s operations. Gaming authorities have levied and may levy fines against us or seize certain of our assets if we violate gaming regulations. We cannot assure that we will be able to obtain or maintain the necessary licenses or approvals or that the licensing process will not result in delays or adversely affect our operations. The failure to obtain or retain a required license or approval in any jurisdiction would decrease the geographic areas where we are permitted to operate and generate revenue, may limit our ability to obtain a license in other jurisdictions and may put us at a disadvantage relative to our competitors.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ind w:right="180" w:firstLine="648"/>
        <w:spacing w:after="0" w:line="301" w:lineRule="auto"/>
        <w:rPr>
          <w:sz w:val="20"/>
          <w:szCs w:val="20"/>
          <w:color w:val="auto"/>
        </w:rPr>
      </w:pPr>
      <w:r>
        <w:rPr>
          <w:rFonts w:ascii="Arial" w:cs="Arial" w:eastAsia="Arial" w:hAnsi="Arial"/>
          <w:sz w:val="16"/>
          <w:szCs w:val="16"/>
          <w:color w:val="auto"/>
        </w:rPr>
        <w:t>We cannot assure that authorities will not seek to restrict our business in their jurisdictions or institute enforcement proceedings against us. We cannot assure that any instituted enforcement proceedings will be favorably resolved, or that such proceedings will not have a material adverse impact on our ability to retain and renew existing licenses or to obtain new licenses in other jurisdictions. Our reputation may also be damaged by any legal or regulatory investigation, regardless of whether or not we are ultimately accused of, or found to have committed, any violation.</w:t>
      </w:r>
    </w:p>
    <w:p>
      <w:pPr>
        <w:spacing w:after="0" w:line="90"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Often, our games, Gaming product hardware and software and our iGaming RMG must be approved in the jurisdictions in which they are operated, and we cannot assure you that such products or services will be approved in any jurisdiction. Our networked gaming technology requires regulatory approval in gaming jurisdictions prior to the shipment or implementation of any gaming machines, products or services and, although we have received approvals from the jurisdictions in which we currently operate this technology, we cannot assure that we will receive the approvals necessary to offer it in additional gaming jurisdictions. Many of our customers are required to be licensed, and delays in approvals of our customers’ operations or expansions may adversely affect our results of operations, cash flows and financial condition. In addition, current regulations in a number of jurisdictions where our customers operate, such as Macau SAR and Singapore, limit the amount of space allocated to our products or limit the amount of new product available to operators to an amount that has been pre-approved by regulators. Substantial changes in any such regulations could adversely affect demand for our products.</w:t>
      </w:r>
    </w:p>
    <w:p>
      <w:pPr>
        <w:spacing w:after="0" w:line="11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A substantial portion of our U.K. Gaming reporting unit revenue is concentrated with Ladbrokes Coral Group (which was acquired by Entain (formerly GVC Holdings PLC) in March 2018), which operates LBOs in the U.K. Effective as of April 1, 2019, fixed-odds betting terminals maximum stakes limit was required to be reduced from £100 to £2. As a result of this change, a number of LBO operators commenced a rationalization of their retail operations, which among other measures has included closure of certain LBO shops. The rationalization is likely to continue for the foreseeable future.</w:t>
      </w:r>
    </w:p>
    <w:p>
      <w:pPr>
        <w:spacing w:after="0" w:line="9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Effective as of April 14, 2020, the U.K. Gambling Commission banned gambling businesses from allowing consumers in Great Britain to use credit cards to gamble in all online and offline gambling products, with the exception of non-remote lotteries. The U.K. Gambling Commission announced changes to license conditions, effective as of March 31, 2020, which required all online gambling operators to participate in a multi-operator self-exclusion scheme, GAMSTOP, which allowed consumers to self-exclude from online operators with one request. We will continue to monitor the impact of the ban and the changes to license conditions on our iGaming and Gaming business segments and overall business, but believe the impact will continue to be immaterial. The U.K. government’s review of the U.K.’s Gambling Act 2005 and anticipated increased regulatory scrutiny as a result could negatively affect our ability to operate in the U.K.</w:t>
      </w:r>
    </w:p>
    <w:p>
      <w:pPr>
        <w:spacing w:after="0" w:line="12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and certain of our affiliates, major stockholders (generally persons and entities beneficially owning a specified percentage (typically 5% or more) of our equity securities), directors, officers and key employees are subject to extensive background investigations and suitability standards in our businesses. For additional details regarding the background investigations, the risk of failure of any such individuals or entities to submit to such background investigations, the significant approval and licensing discretion of regulatory authorities, and the authority granted to these regulatory authorities, see “</w:t>
      </w:r>
      <w:r>
        <w:rPr>
          <w:rFonts w:ascii="Arial" w:cs="Arial" w:eastAsia="Arial" w:hAnsi="Arial"/>
          <w:sz w:val="17"/>
          <w:szCs w:val="17"/>
          <w:i w:val="1"/>
          <w:iCs w:val="1"/>
          <w:color w:val="auto"/>
        </w:rPr>
        <w:t>Government Regulation</w:t>
      </w:r>
      <w:r>
        <w:rPr>
          <w:rFonts w:ascii="Arial" w:cs="Arial" w:eastAsia="Arial" w:hAnsi="Arial"/>
          <w:sz w:val="17"/>
          <w:szCs w:val="17"/>
          <w:color w:val="auto"/>
        </w:rPr>
        <w:t xml:space="preserve">” in </w:t>
      </w:r>
      <w:r>
        <w:rPr>
          <w:rFonts w:ascii="Arial" w:cs="Arial" w:eastAsia="Arial" w:hAnsi="Arial"/>
          <w:sz w:val="17"/>
          <w:szCs w:val="17"/>
          <w:i w:val="1"/>
          <w:iCs w:val="1"/>
          <w:color w:val="auto"/>
        </w:rPr>
        <w:t>Part I, Item 1</w:t>
      </w:r>
      <w:r>
        <w:rPr>
          <w:rFonts w:ascii="Arial" w:cs="Arial" w:eastAsia="Arial" w:hAnsi="Arial"/>
          <w:sz w:val="17"/>
          <w:szCs w:val="17"/>
          <w:color w:val="auto"/>
        </w:rPr>
        <w:t xml:space="preserve"> of this Annual Report on Form 10-K and Exhibit 99.5 “Gaming Regulations.” Our failure, or the failure of any of our major stockholders, directors, officers, key employees, products or technology, to obtain or retain a required license or approval in one jurisdiction could negatively impact our ability (or the ability of any of our major stockholders, directors, officers, key employees, products or technology) to obtain or retain required licenses and approvals in other jurisdictions.</w:t>
      </w:r>
    </w:p>
    <w:p>
      <w:pPr>
        <w:spacing w:after="0" w:line="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light of these regulations and the potential impact on our business, our amended and restated articles of incorporation and amended and restated bylaws allow for the restriction of stock ownership by persons or entities who fail to comply with informational or other regulatory requirements under applicable gaming laws, who are found unsuitable to hold our stock by gaming authorities, whose stock ownership adversely affects our ability to obtain, maintain, renew or qualify for a license, contract, franchise or other regulatory approval from a gaming authority or a purported transferee of a stockholder who acquires shares made invalid pursuant to our amended and restated articles of incorporation and amended and restated bylaws. The licensing procedures and background investigations of the authorities that regulate our businesses and the restriction in our amended and restated articles of incorporation and amended and restated bylaws may inhibit potential investors from becoming significant stockholders or inhibit existing stockholders from retaining or increasing their ownership.</w:t>
      </w:r>
    </w:p>
    <w:p>
      <w:pPr>
        <w:spacing w:after="0" w:line="12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There are instances where a state in which a Native American tribe conducts Class III gaming activities disagrees with such tribe regarding the regulation of gaming, including the regulation of gaming suppliers. In those instances, we make every effort to comply with both state and tribal regulation and fulfill our contractual obligations. However, there may be and have been situations where any such disagreement impedes or creates uncertainty with respect to our ability to supply gaming products and services to such tribal customer or otherwise negatively impacts our relationship with such customer or gaming regulators. There are additional complexities that may impact disputes or other interactions with Native American tribe customers. For example, Native American tribes generally enjoy sovereign immunity from lawsuits, similar to the sovereign immunity enjoyed by the individual states and the U.S. In addition, certain commercial agreements with Native American tribes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0" w:name="page41"/>
    <w:bookmarkEnd w:id="40"/>
    <w:p>
      <w:pPr>
        <w:ind w:right="220"/>
        <w:spacing w:after="0" w:line="277" w:lineRule="auto"/>
        <w:rPr>
          <w:sz w:val="20"/>
          <w:szCs w:val="20"/>
          <w:color w:val="auto"/>
        </w:rPr>
      </w:pPr>
      <w:r>
        <w:rPr>
          <w:rFonts w:ascii="Arial" w:cs="Arial" w:eastAsia="Arial" w:hAnsi="Arial"/>
          <w:sz w:val="18"/>
          <w:szCs w:val="18"/>
          <w:color w:val="auto"/>
        </w:rPr>
        <w:t>are subject to review by regulatory authorities such as the National Indian Gaming Commission, and, among other things, any such review could require substantial modifications to any such agreement we enter into with a Native American tribe customer.</w:t>
      </w:r>
    </w:p>
    <w:p>
      <w:pPr>
        <w:spacing w:after="0" w:line="10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customers are required to comply with all applicable laws. In addition, we maintain and update a list of jurisdictions where we believe there is legal or regulatory risk associated with remote gaming and require that our customers contractually agree not to offer our games or accept wagers from end users in such jurisdictions. Despite our efforts, we cannot assure you that our customers will remain in compliance with laws or with the terms of their contracts with us or that a breach of any of the foregoing will be identified or cured in a timely manner.</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developed and implemented an internal compliance program in an effort to ensure that we comply with legal requirements imposed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our Gaming, SciPlay and iGaming activities and legal requirements generally applicable to all publicly traded companies. Refer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 Regulation - General</w:t>
      </w:r>
      <w:r>
        <w:rPr>
          <w:rFonts w:ascii="Arial" w:cs="Arial" w:eastAsia="Arial" w:hAnsi="Arial"/>
          <w:sz w:val="16"/>
          <w:szCs w:val="16"/>
          <w:color w:val="auto"/>
        </w:rPr>
        <w:t xml:space="preserve">” in </w:t>
      </w:r>
      <w:r>
        <w:rPr>
          <w:rFonts w:ascii="Arial" w:cs="Arial" w:eastAsia="Arial" w:hAnsi="Arial"/>
          <w:sz w:val="16"/>
          <w:szCs w:val="16"/>
          <w:i w:val="1"/>
          <w:iCs w:val="1"/>
          <w:color w:val="auto"/>
        </w:rPr>
        <w:t>Part I, Item 1</w:t>
      </w:r>
      <w:r>
        <w:rPr>
          <w:rFonts w:ascii="Arial" w:cs="Arial" w:eastAsia="Arial" w:hAnsi="Arial"/>
          <w:sz w:val="16"/>
          <w:szCs w:val="16"/>
          <w:color w:val="auto"/>
        </w:rPr>
        <w:t xml:space="preserve"> of this Annual Report on Form 10-K, for additional details about the compliance program. We cannot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assure that such steps will prevent the violation of one or more laws or regulations, or that a violation by us or an employee will not result in the imposition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 monetary fine, suspension or revocation of one or more of our licenses or other penalties.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Laws and regulations relating to our SciPlay and iGaming businesses are evolving. For additional discussion regarding risks associated with the evolving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regulatory landscape for digital gaming, see the risk factors captioned “</w:t>
      </w:r>
      <w:r>
        <w:rPr>
          <w:rFonts w:ascii="Arial" w:cs="Arial" w:eastAsia="Arial" w:hAnsi="Arial"/>
          <w:sz w:val="16"/>
          <w:szCs w:val="16"/>
          <w:i w:val="1"/>
          <w:iCs w:val="1"/>
          <w:color w:val="auto"/>
        </w:rPr>
        <w:t>We may not be able to capitalize on the expansion of internet or other forms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digital gaming or other trends and changes in the gaming, lottery, social, and iGaming industries, including due to laws and regulations governing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industries</w:t>
      </w:r>
      <w:r>
        <w:rPr>
          <w:rFonts w:ascii="Arial" w:cs="Arial" w:eastAsia="Arial" w:hAnsi="Arial"/>
          <w:sz w:val="17"/>
          <w:szCs w:val="17"/>
          <w:color w:val="auto"/>
        </w:rPr>
        <w:t>”; “</w:t>
      </w:r>
      <w:r>
        <w:rPr>
          <w:rFonts w:ascii="Arial" w:cs="Arial" w:eastAsia="Arial" w:hAnsi="Arial"/>
          <w:sz w:val="17"/>
          <w:szCs w:val="17"/>
          <w:i w:val="1"/>
          <w:iCs w:val="1"/>
          <w:color w:val="auto"/>
        </w:rPr>
        <w:t>Legislative interpretation and enforcement of certain gaming activities could adversely affect financial performance and reputation</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Regulators and investors may perceive gaming suppliers and operators similarly, and consider their respective regulatory risk to be similar</w:t>
      </w:r>
      <w:r>
        <w:rPr>
          <w:rFonts w:ascii="Arial" w:cs="Arial" w:eastAsia="Arial" w:hAnsi="Arial"/>
          <w:sz w:val="16"/>
          <w:szCs w:val="16"/>
          <w:color w:val="auto"/>
        </w:rPr>
        <w:t>”; “</w:t>
      </w:r>
      <w:r>
        <w:rPr>
          <w:rFonts w:ascii="Arial" w:cs="Arial" w:eastAsia="Arial" w:hAnsi="Arial"/>
          <w:sz w:val="16"/>
          <w:szCs w:val="16"/>
          <w:i w:val="1"/>
          <w:iCs w:val="1"/>
          <w:color w:val="auto"/>
        </w:rPr>
        <w:t>Failure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technological blocking systems could result in violations of laws or regulations and have a material adverse effect on our operations, financial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and prospects</w:t>
      </w:r>
      <w:r>
        <w:rPr>
          <w:rFonts w:ascii="Arial" w:cs="Arial" w:eastAsia="Arial" w:hAnsi="Arial"/>
          <w:sz w:val="17"/>
          <w:szCs w:val="17"/>
          <w:color w:val="auto"/>
        </w:rPr>
        <w:t>”; “</w:t>
      </w:r>
      <w:r>
        <w:rPr>
          <w:rFonts w:ascii="Arial" w:cs="Arial" w:eastAsia="Arial" w:hAnsi="Arial"/>
          <w:sz w:val="17"/>
          <w:szCs w:val="17"/>
          <w:i w:val="1"/>
          <w:iCs w:val="1"/>
          <w:color w:val="auto"/>
        </w:rPr>
        <w:t>Expectations of a shift to regulated digital gaming may not come to fruition</w:t>
      </w:r>
      <w:r>
        <w:rPr>
          <w:rFonts w:ascii="Arial" w:cs="Arial" w:eastAsia="Arial" w:hAnsi="Arial"/>
          <w:sz w:val="17"/>
          <w:szCs w:val="17"/>
          <w:color w:val="auto"/>
        </w:rPr>
        <w:t>”; “</w:t>
      </w:r>
      <w:r>
        <w:rPr>
          <w:rFonts w:ascii="Arial" w:cs="Arial" w:eastAsia="Arial" w:hAnsi="Arial"/>
          <w:sz w:val="17"/>
          <w:szCs w:val="17"/>
          <w:i w:val="1"/>
          <w:iCs w:val="1"/>
          <w:color w:val="auto"/>
        </w:rPr>
        <w:t>We may incur additional impairment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charges</w:t>
      </w:r>
      <w:r>
        <w:rPr>
          <w:rFonts w:ascii="Arial" w:cs="Arial" w:eastAsia="Arial" w:hAnsi="Arial"/>
          <w:sz w:val="16"/>
          <w:szCs w:val="16"/>
          <w:color w:val="auto"/>
        </w:rPr>
        <w:t>”; and “</w:t>
      </w:r>
      <w:r>
        <w:rPr>
          <w:rFonts w:ascii="Arial" w:cs="Arial" w:eastAsia="Arial" w:hAnsi="Arial"/>
          <w:sz w:val="16"/>
          <w:szCs w:val="16"/>
          <w:i w:val="1"/>
          <w:iCs w:val="1"/>
          <w:color w:val="auto"/>
        </w:rPr>
        <w:t>We rely on the ability to use the intellectual property rights of third parties</w:t>
      </w:r>
      <w:r>
        <w:rPr>
          <w:rFonts w:ascii="Arial" w:cs="Arial" w:eastAsia="Arial" w:hAnsi="Arial"/>
          <w:sz w:val="16"/>
          <w:szCs w:val="16"/>
          <w:color w:val="auto"/>
        </w:rPr>
        <w:t>”; and “</w:t>
      </w:r>
      <w:r>
        <w:rPr>
          <w:rFonts w:ascii="Arial" w:cs="Arial" w:eastAsia="Arial" w:hAnsi="Arial"/>
          <w:sz w:val="16"/>
          <w:szCs w:val="16"/>
          <w:i w:val="1"/>
          <w:iCs w:val="1"/>
          <w:color w:val="auto"/>
        </w:rPr>
        <w:t>Government Regulation</w:t>
      </w:r>
      <w:r>
        <w:rPr>
          <w:rFonts w:ascii="Arial" w:cs="Arial" w:eastAsia="Arial" w:hAnsi="Arial"/>
          <w:sz w:val="16"/>
          <w:szCs w:val="16"/>
          <w:color w:val="auto"/>
        </w:rPr>
        <w:t>” in</w:t>
      </w:r>
      <w:r>
        <w:rPr>
          <w:rFonts w:ascii="Arial" w:cs="Arial" w:eastAsia="Arial" w:hAnsi="Arial"/>
          <w:sz w:val="16"/>
          <w:szCs w:val="16"/>
          <w:i w:val="1"/>
          <w:iCs w:val="1"/>
          <w:color w:val="auto"/>
        </w:rPr>
        <w:t xml:space="preserve"> Part I, Item 1 </w:t>
      </w:r>
      <w:r>
        <w:rPr>
          <w:rFonts w:ascii="Arial" w:cs="Arial" w:eastAsia="Arial" w:hAnsi="Arial"/>
          <w:sz w:val="16"/>
          <w:szCs w:val="16"/>
          <w:color w:val="auto"/>
        </w:rPr>
        <w:t>of this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10-K.</w:t>
      </w:r>
    </w:p>
    <w:p>
      <w:pPr>
        <w:spacing w:after="0" w:line="14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Exhibit 99.5 “Gaming Regulations” for additional information regarding certain of the regulations that govern our Gaming, SciPlay and iGaming businesses.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Legislative interpretation and enforcement of certain gaming activities could adversely affect financial performance and reputation.</w:t>
      </w:r>
    </w:p>
    <w:p>
      <w:pPr>
        <w:spacing w:after="0" w:line="16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Some jurisdictions are seeking to regulate gaming; others are seeking to prohibit it. We generate a portion of our operating results through licensing our proprietary software technology and games to enable gaming operators to provide gaming services to customers where such services are dependent on that software and the functionality it provides. Laws and regulations relating to the supply of such services are complex, inconsistent and evolving, and we may be subject to such laws either directly through explicit service provision or indirectly insofar as we have assisted the supply to customers who are themselves subject to such laws. For example, where supply by the Company to the customer is critical to the gaming transaction, there is a risk that a regulator could take direct enforcement action against us.</w:t>
      </w:r>
    </w:p>
    <w:p>
      <w:pPr>
        <w:spacing w:after="0" w:line="110"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Many jurisdictions have not updated their laws to address the supply of remote gaming, which by its nature is a multi-jurisdictional activity. Moreover, the legality of such activities and related services is subject to uncertainties arising from differing approaches by legislatures, regulators and enforcement agents including in relation to determining in which jurisdiction the gaming takes place and therefore which law applies and in relation to regulations being interpreted in unfavorable or unanticipated ways.</w:t>
      </w:r>
    </w:p>
    <w:p>
      <w:pPr>
        <w:spacing w:after="0" w:line="10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monitor legal and regulatory developments in all of our material gaming markets and generally seek to keep abreast of legal and regulatory developments affecting our industries. However, we do not necessarily monitor, on a continuous basis, the laws and regulations in every jurisdiction where we or our customers do business and, therefore, we or our customers may operate in jurisdictions where we may be unaware of the full extent of the legal or regulatory risk.</w:t>
      </w:r>
    </w:p>
    <w:p>
      <w:pPr>
        <w:spacing w:after="0" w:line="119" w:lineRule="exact"/>
        <w:rPr>
          <w:sz w:val="20"/>
          <w:szCs w:val="20"/>
          <w:color w:val="auto"/>
        </w:rPr>
      </w:pPr>
    </w:p>
    <w:p>
      <w:pPr>
        <w:jc w:val="both"/>
        <w:ind w:right="300" w:firstLine="648"/>
        <w:spacing w:after="0" w:line="311" w:lineRule="auto"/>
        <w:rPr>
          <w:sz w:val="20"/>
          <w:szCs w:val="20"/>
          <w:color w:val="auto"/>
        </w:rPr>
      </w:pPr>
      <w:r>
        <w:rPr>
          <w:rFonts w:ascii="Arial" w:cs="Arial" w:eastAsia="Arial" w:hAnsi="Arial"/>
          <w:sz w:val="16"/>
          <w:szCs w:val="16"/>
          <w:color w:val="auto"/>
        </w:rPr>
        <w:t>Sometimes we are able to take the additional precautionary step of blocking wagers from jurisdictions where we are aware of material legal or regulatory risk associated with remote gaming. In addition, the Company protects itself through contractual mechanisms with our customers explicitly allowing us to suspend or terminate services if such customers offer our games or accept wagers from end users in certain jurisdictions.</w:t>
      </w:r>
    </w:p>
    <w:p>
      <w:pPr>
        <w:spacing w:after="0" w:line="8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Despite the monitoring we have undertaken and the other precautions we take, it is possible that, due to the above factors, such measures are not sufficient and that criminal or regulatory actions could be brought against us or our employees or directors, any or all of which could have a detrimental effect on the our financial performance and reputation. Furthermore,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1" w:name="page42"/>
    <w:bookmarkEnd w:id="41"/>
    <w:p>
      <w:pPr>
        <w:ind w:right="160"/>
        <w:spacing w:after="0" w:line="277" w:lineRule="auto"/>
        <w:rPr>
          <w:sz w:val="20"/>
          <w:szCs w:val="20"/>
          <w:color w:val="auto"/>
        </w:rPr>
      </w:pPr>
      <w:r>
        <w:rPr>
          <w:rFonts w:ascii="Arial" w:cs="Arial" w:eastAsia="Arial" w:hAnsi="Arial"/>
          <w:sz w:val="18"/>
          <w:szCs w:val="18"/>
          <w:color w:val="auto"/>
        </w:rPr>
        <w:t>actions brought against our customers could also have a detrimental effect on our financial performance or reputation, including if such actions prevent or delay the receipt of revenue from such customers.</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capitalize on the expansion of internet or other forms of digital gaming or other trends and changes in the industries in which we operate, including due to laws and regulations governing these industries.</w:t>
      </w:r>
    </w:p>
    <w:p>
      <w:pPr>
        <w:spacing w:after="0" w:line="89"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 xml:space="preserve">We participate in the new and evolving digital gaming industries through our SciPlay and iGaming offerings. Part of our strategy is to take advantage of the liberalization of digital gaming, both within the U.S. and internationally. These industries involve significant risks and uncertainties, including legal, business and financial risks. The success of these industries and of our digital gaming products and services may be affected by future developments in social networks, including </w:t>
      </w:r>
      <w:r>
        <w:rPr>
          <w:rFonts w:ascii="Arial" w:cs="Arial" w:eastAsia="Arial" w:hAnsi="Arial"/>
          <w:sz w:val="18"/>
          <w:szCs w:val="18"/>
          <w:i w:val="1"/>
          <w:iCs w:val="1"/>
          <w:color w:val="auto"/>
        </w:rPr>
        <w:t>Facebook</w:t>
      </w:r>
      <w:r>
        <w:rPr>
          <w:rFonts w:ascii="Arial" w:cs="Arial" w:eastAsia="Arial" w:hAnsi="Arial"/>
          <w:sz w:val="18"/>
          <w:szCs w:val="18"/>
          <w:color w:val="auto"/>
        </w:rPr>
        <w:t>, mobile platforms, regulatory developments, data privacy laws and other factors that we are unable to predict and are beyond our control. This fast</w:t>
      </w:r>
      <w:r>
        <w:rPr>
          <w:rFonts w:ascii="MS PGothic" w:cs="MS PGothic" w:eastAsia="MS PGothic" w:hAnsi="MS PGothic"/>
          <w:sz w:val="18"/>
          <w:szCs w:val="18"/>
          <w:color w:val="auto"/>
        </w:rPr>
        <w:t>‑</w:t>
      </w:r>
      <w:r>
        <w:rPr>
          <w:rFonts w:ascii="Arial" w:cs="Arial" w:eastAsia="Arial" w:hAnsi="Arial"/>
          <w:sz w:val="18"/>
          <w:szCs w:val="18"/>
          <w:color w:val="auto"/>
        </w:rPr>
        <w:t>changing environment can make it difficult to plan strategically and can provide opportunities for competitors to grow their businesses at our expense. Consequently, our future results of operations, cash flows and financial condition relating to our products and services are difficult to predict and may not grow at the rates we expect, and we cannot assure that these products and services will be successful in the long term.</w:t>
      </w:r>
    </w:p>
    <w:p>
      <w:pPr>
        <w:spacing w:after="0" w:line="13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There are still significant forces working to limit or prohibit digital gaming in the U.S. For additional information regarding proposed laws at the federal or state level, see “Government Regulation - iGaming” in Part I, Item 1 of this Annual Report on Form 10-K. The enactment of digital gaming legislation that federalizes significant aspects of the regulation of digital gaming and/or limits the forms of internet wagering that are permissible at the state or federal level could have an adverse impact on our ability to pursue our digital gaming strategy in the U.S.</w:t>
      </w:r>
    </w:p>
    <w:p>
      <w:pPr>
        <w:spacing w:after="0" w:line="10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Internationally, laws relating to digital gaming are evolving, particularly in Europe. For additional information, including steps taken by European governments, the European Commission dropping enforcement actions, and regulatory developments in countries outside Europe and the U.S., regarding how laws relating to digital gaming are evolving internationally, see “Government Regulation - iGaming” in Part I, Item 1 of this Annual Report on Form 10-K. We cannot predict the timing, scope or terms of any such state, federal or foreign laws and regulations, or the extent to which any such laws and regulations will facilitate or hinder our interactive strategy.</w:t>
      </w:r>
    </w:p>
    <w:p>
      <w:pPr>
        <w:spacing w:after="0" w:line="10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business is subject to a number of foreign and domestic laws and regulations that affect companies conducting business on the internet, and laws and regulations governing data privacy and security, including with respect to the collection, storage, use, transmission and protection of personal information and other consumer data. The scope of data privacy and security regulations continues to evolve, and we believe that the adoption of increasingly restrictive regulations in this area is likely within the U.S. and other jurisdictions. Our SciPlay and iGaming businesses are subject to evolving regulations, and the status of any particular jurisdiction may change at any time. The regulatory structure surrounding certain aspects of these businesses is currently in flux in some jurisdictions. See the risk factor captioned “Gaming opponents persist in their efforts to curtail the expansion of legalized gaming, which, if successful, could limit the growth of our operations” and “Government Regulation - SciPlay” and “Government Regulation - iGaming” in Part I, Item 1 of this Annual Report on Form 10-K for additional information on evolving regulations applicable to our SciPlay and iGaming businesses.</w:t>
      </w:r>
    </w:p>
    <w:p>
      <w:pPr>
        <w:spacing w:after="0" w:line="9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Know-your-customer and geo-location programs and technologies supplied by third parties are an important aspect of certain internet and mobile gaming products and services because they confirm certain information with respect to players and prospective players, such as age, identity and location. Payment processing programs and technologies, typically provided by third parties, are also a necessary feature of interactive wagering products and services. These programs and technologies are costly and may have an adverse impact on our results of operations, cash flows and financial condition. Additionally, we cannot assure that products containing these programs and technologies will be available to us on commercially reasonable terms, if at all, or that they will perform accurately or otherwise in accordance with our required specifications. See the SciPlay and iGaming sections in the risk factor captioned “We operate in highly competitive industries, and our success depends on our ability to effectively compete with numerous domestic and foreign businesses” for additional information on risks regarding internet and mobile gaming products and services.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tax rulings, or the examination of our tax positions, could materially affect our financial condition and results of operations.</w:t>
      </w:r>
    </w:p>
    <w:p>
      <w:pPr>
        <w:spacing w:after="0" w:line="16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Tax laws are dynamic and subject to change as new laws are passed and new interpretations of the law are issued or applied. Our existing corporate structure and intercompany arrangements have been implemented in a manner that we believe is in compliance with current prevailing tax laws. However, the tax benefits that we intend to eventually derive could be undermined due to changing tax laws. In addition, the taxing authorities in the U.S. and other jurisdictions where we do business regularly examine our income and other tax returns and we expect that they may examine our income and other tax returns. The ultimate outcome of these examinations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ind w:right="20" w:firstLine="648"/>
        <w:spacing w:after="0" w:line="273" w:lineRule="auto"/>
        <w:rPr>
          <w:sz w:val="20"/>
          <w:szCs w:val="20"/>
          <w:color w:val="auto"/>
        </w:rPr>
      </w:pPr>
      <w:r>
        <w:rPr>
          <w:rFonts w:ascii="Arial" w:cs="Arial" w:eastAsia="Arial" w:hAnsi="Arial"/>
          <w:sz w:val="17"/>
          <w:szCs w:val="17"/>
          <w:color w:val="auto"/>
        </w:rPr>
        <w:t>Certain of our U.S. federal, state, and foreign tax attributes may be subject to annual limitations under Internal Revenue Code Section 382 (“Section 382”) (or comparable provisions of state or foreign law) in the event that certain changes in ownership were to occur. Tax attributes that exceed the Section 382 limitation in any year continue to be allowed as carry forwards until they expire and can be used to offset taxable income for years within the carryover period subject to the limitation in each year. Given the Company’s significant U.S. tax attributes, we continuously monitor potential ownership changes under Section 382. In the fourth quarter of 2020, we experienced an ownership change, triggering the application of Section 382. We do not expect any resulting Section 382 limitations to have a significant impact on the use of our tax attributes.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Gaming opponents persist in their efforts to curtail the expansion of legalized gaming, which, if successful, could limit the growth of our operations.</w:t>
      </w:r>
    </w:p>
    <w:p>
      <w:pPr>
        <w:spacing w:after="0" w:line="179" w:lineRule="exact"/>
        <w:rPr>
          <w:sz w:val="20"/>
          <w:szCs w:val="20"/>
          <w:color w:val="auto"/>
        </w:rPr>
      </w:pPr>
    </w:p>
    <w:p>
      <w:pPr>
        <w:ind w:right="120" w:firstLine="648"/>
        <w:spacing w:after="0" w:line="220" w:lineRule="exact"/>
        <w:rPr>
          <w:sz w:val="20"/>
          <w:szCs w:val="20"/>
          <w:color w:val="auto"/>
        </w:rPr>
      </w:pPr>
      <w:r>
        <w:rPr>
          <w:rFonts w:ascii="Arial" w:cs="Arial" w:eastAsia="Arial" w:hAnsi="Arial"/>
          <w:sz w:val="17"/>
          <w:szCs w:val="17"/>
          <w:color w:val="auto"/>
        </w:rPr>
        <w:t>There is significant debate over, and opposition to, land</w:t>
      </w:r>
      <w:r>
        <w:rPr>
          <w:rFonts w:ascii="MS PGothic" w:cs="MS PGothic" w:eastAsia="MS PGothic" w:hAnsi="MS PGothic"/>
          <w:sz w:val="17"/>
          <w:szCs w:val="17"/>
          <w:color w:val="auto"/>
        </w:rPr>
        <w:t>‑</w:t>
      </w:r>
      <w:r>
        <w:rPr>
          <w:rFonts w:ascii="Arial" w:cs="Arial" w:eastAsia="Arial" w:hAnsi="Arial"/>
          <w:sz w:val="17"/>
          <w:szCs w:val="17"/>
          <w:color w:val="auto"/>
        </w:rPr>
        <w:t>based and interactive RMG. We cannot assure that this opposition will not succeed in preventing the legalization of gaming in jurisdictions where it is presently prohibited, prohibiting or limiting the expansion of gaming where it is currently permitted or causing the repeal of legalized gaming in any jurisdiction. Any successful effort to curtail the expansion of, or limit or prohibit, legalized gaming could have an adverse effect on our results of operations, cash flows and financial condition.</w:t>
      </w:r>
    </w:p>
    <w:p>
      <w:pPr>
        <w:spacing w:after="0" w:line="13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addition, there is significant opposition in some jurisdictions to interactive social and digital gaming, including social casino gaming. Some states or countries have anti-gaming groups that specifically target social casino games. Such opposition could lead these jurisdictions to adopt legislation or impose a regulatory framework to govern interactive social gaming, social casino games specifically. These could result in a prohibition on interactive social gaming, or social casino gaming altogether, restrict our ability to advertise our games, or substantially increase our costs to comply with these regulations, all of which could have an adverse effect on our results of operations, cash flows and financial condition. We continue to devote significant attention to monitoring these developments. However, we cannot predict the likelihood, timing, scope or terms of any state, federal or foreign legislation or regulations relating to our SciPlay and iGaming businesses or the extent to which they may affect our SciPlay and iGaming businesses.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Expectations of a shift to regulated digital gaming may not come to fruition.</w:t>
      </w:r>
    </w:p>
    <w:p>
      <w:pPr>
        <w:spacing w:after="0" w:line="14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business strategy includes a gradual shift into new, regulated digital gaming markets. We expect there to be an opportunity to grow revenue by being among the first systems providers to obtain a license to operate digital gaming systems in markets where end-users historically have been reliant on unregulated digital gaming. However, there is no guarantee that end users who are currently engaging in unregulated digital gaming (in the U.S. or elsewhere) will transition away from unregulated gaming to regulated gaming in the wake of regulation, which is itself uncertain as to timing and scope and varies on a jurisdiction by jurisdiction basis. Our ability to influence end-user tastes and habits is limited, and if the introduction of regulation fails to result in a migration of end-users from unregulated gaming to regulated gaming (from which we currently derive and are expected to derive revenue through revenue sharing and fixed fees arrangements with our sports wagering customers), this may have an adverse impact on our operations, financial performance and prospects.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Data privacy and security laws and regulations in the jurisdictions in which we do business could increase the cost of our operations and subject us to possible sanctions and other penalties</w:t>
      </w:r>
    </w:p>
    <w:p>
      <w:pPr>
        <w:spacing w:after="0" w:line="10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collect, process, store, use and share data, some of which contains personal information. Our businesses are therefore subject to a number of federal, state, local and foreign laws and regulations governing data privacy and security, including with respect to the collection, storage, use, transmission, sharing and protection of personal information and other consumer and employee data</w:t>
      </w:r>
      <w:r>
        <w:rPr>
          <w:rFonts w:ascii="Arial" w:cs="Arial" w:eastAsia="Arial" w:hAnsi="Arial"/>
          <w:sz w:val="17"/>
          <w:szCs w:val="17"/>
          <w:i w:val="1"/>
          <w:iCs w:val="1"/>
          <w:color w:val="auto"/>
        </w:rPr>
        <w:t>.</w:t>
      </w:r>
      <w:r>
        <w:rPr>
          <w:rFonts w:ascii="Arial" w:cs="Arial" w:eastAsia="Arial" w:hAnsi="Arial"/>
          <w:sz w:val="17"/>
          <w:szCs w:val="17"/>
          <w:color w:val="auto"/>
        </w:rPr>
        <w:t xml:space="preserve"> Such laws and regulations may be inconsistent among countries or conflict with other rules. In particular, the EU has adopted strict data privacy and security regulations. Following certain developments in the EU, including the EU’s GDPR and proposed Regulation on Privacy and Electronic Communications (the “ePrivacy Regulation”), data privacy and security compliance in the EU are increasingly complex and challenging. The GDPR created new compliance obligations applicable to our business and some of our players and it also imposes increased financial penalties for noncompliance (including possible fines of up to four percent of global annual revenue for the preceding financial year or €20 million (whichever is higher) for the most serious violations). Compliance with the GDPR and similar regulations increases our operational costs and can impact operational efficiencies.</w:t>
      </w:r>
    </w:p>
    <w:p>
      <w:pPr>
        <w:spacing w:after="0" w:line="100"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color w:val="auto"/>
        </w:rPr>
        <w:t>The scope of data privacy and security regulations worldwide continues to evolve, and we believe that the adoption of increasingly restrictive regulations in this area is likely within the U.S. and other jurisdictions. For example, the California Consumer Privacy Act, or CCPA, went into effect on January 1, 2020. This law, among other things, requires new disclosures to California consumers, imposes new rules for collecting or using information about minors, and affords consumers new abilities to opt out of certain disclosures of personal information. It is unclear how courts will interpret the CCPA. The U.S. Congress may also pass a law to preempt all or part of the CCPA. Further, California recently passed the California Privacy Rights Act, or CPRA, which amends the CCPA to provide more comprehensive privacy protections to consumers once it becomes effective in January 2023. The effects of the CCPA and CPRA may be significant, and the CCPA required us to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ind w:right="20"/>
        <w:spacing w:after="0" w:line="253" w:lineRule="auto"/>
        <w:rPr>
          <w:sz w:val="20"/>
          <w:szCs w:val="20"/>
          <w:color w:val="auto"/>
        </w:rPr>
      </w:pPr>
      <w:r>
        <w:rPr>
          <w:rFonts w:ascii="Arial" w:cs="Arial" w:eastAsia="Arial" w:hAnsi="Arial"/>
          <w:sz w:val="17"/>
          <w:szCs w:val="17"/>
          <w:color w:val="auto"/>
        </w:rPr>
        <w:t>update our policies to include CCPA-specific clauses and procedures. A number of other proposals related to data privacy or security are pending before federal, state, and foreign legislative and regulatory bodies. For example, the European Union is contemplating the adoption of the ePrivacy Regulation, expected in 2021, that would govern data privacy and the protection of personal data in electronic communications, in particular for direct marketing purposes. Efforts to comply with these and other data privacy and security restrictions that may be enacted could require us to modify our data processing practices and policies and increase the cost of our operations. Failure to comply with such restrictions could subject us to criminal and civil sanctions and other penalties. In part due to the uncertainty of the legal climate, complying with regulations, and any applicable rules or guidance from self-regulatory organizations relating to privacy, data protection, information security and consumer protection, may result in substantial costs and may necessitate changes to our businesses practices, which may compromise our growth strategy, adversely affect our ability to attract or retain players, and otherwise adversely affect our businesses, financial condition and operating results.</w:t>
      </w:r>
    </w:p>
    <w:p>
      <w:pPr>
        <w:spacing w:after="0" w:line="11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Any failure or perceived failure by us to comply with our posted privacy policies, our privacy-related obligations to players or other third parties, or any other legal obligations or regulatory requirements relating to privacy, data protection, or information security may result in governmental investigations or enforcement actions, litigation, claims, or public statements against us by consumer advocacy groups or others and could result in significant liability, cause our players to lose trust in us, and otherwise materially and adversely affect our reputation and businesses. Furthermore, the costs of compliance with, and other burdens imposed by, the laws, regulations, and policies that are applicable to us may limit the adoption and use of, and reduce the overall demand for, our games. Additionally, if third parties we work with violate applicable laws, regulations, or agreements, such violations may put our players’ data at risk, could result in governmental investigations or enforcement actions, fines, litigation, claims or public statements against us by consumer advocacy groups or others and could result in significant liability, cause our players to lose trust in us and otherwise materially and adversely affect our reputation and businesses. Further, public scrutiny of, or complaints about, technology companies or their data handling or data protection practices, even if unrelated to our businesses,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and may continue to incur, restructuring costs, the benefits of which are unpredictable and may not be achieved.</w:t>
      </w:r>
    </w:p>
    <w:p>
      <w:pPr>
        <w:spacing w:after="0" w:line="169"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In the past, we have implemented various business improvement, optimization and restructuring initiatives in an effort to streamline our organization, leverage our resources more efficiently, and reduce our operating costs. These initiatives encompassed a combination of headcount reductions, facilities streamlining, and reductions in other operating costs. Most recently, we have incurred and expect to incur additional restructuring costs related to the divestitures of our Lottery and Sports Betting businesses. We have engaged, and may continue to engage, in similar or additional future restructuring initiatives. Because we are not able to predict with certainty when we will reorganize portions of our business, we cannot predict the extent, timing and magnitude of additional restructuring charges. We may also not realize the anticipated reduction in operating costs.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impairment charges.</w:t>
      </w:r>
    </w:p>
    <w:p>
      <w:pPr>
        <w:spacing w:after="0" w:line="144"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We review our amortizable intangible assets for impairment when events or changes in circumstances indicate the carrying value may not be recoverable. We test goodwill assets for impairment at least annually. Factors that may indicate a change in circumstances, such that the carrying value of our goodwill, amortizable intangible assets or other non-amortizing assets may not be recoverable, include a decline in our stock price and market capitalization, reduced future cash flow estimates, and slower growth rates in industry segments in which we participate. We may be required to record a significant charge in our consolidated financial statements during the period in which any impairment of our goodwill or intangible assets is determined, which would negatively affect our results of operations. In light of the COVID-19 pandemic and the resulting unfavorable social, political, economic and financial conditions, during the first quarter of 2020 we performed an interim goodwill impairment assessment, which resulted in a $54 million goodwill impairment charge for our U.K. Gaming reporting unit further discussed below. Our annual goodwill impairment test as of October 1, 2021 for our U.K. Gaming reporting unit indicated that its fair value was substantially in excess (greater than 20%) of the carrying value and for all other reporting units, we concluded that it is more likely than not that the fair values of each of our reporting units exceeded their respective carrying values. However, this could change in the future depending on prevailing conditions that could result in additional impairment charges. For more information on the assessment and the</w:t>
      </w:r>
    </w:p>
    <w:p>
      <w:pPr>
        <w:spacing w:after="0" w:line="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goodwill impairment charge, see section captioned </w:t>
      </w:r>
      <w:r>
        <w:rPr>
          <w:rFonts w:ascii="Arial" w:cs="Arial" w:eastAsia="Arial" w:hAnsi="Arial"/>
          <w:sz w:val="18"/>
          <w:szCs w:val="18"/>
          <w:i w:val="1"/>
          <w:iCs w:val="1"/>
          <w:color w:val="auto"/>
        </w:rPr>
        <w:t>“Business Overview – Highlights, including recent developments – Impacts of COVID-19 on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Financial Results and Liquidity</w:t>
      </w:r>
      <w:r>
        <w:rPr>
          <w:rFonts w:ascii="Arial" w:cs="Arial" w:eastAsia="Arial" w:hAnsi="Arial"/>
          <w:sz w:val="18"/>
          <w:szCs w:val="18"/>
          <w:color w:val="auto"/>
        </w:rPr>
        <w:t>” in</w:t>
      </w:r>
      <w:r>
        <w:rPr>
          <w:rFonts w:ascii="Arial" w:cs="Arial" w:eastAsia="Arial" w:hAnsi="Arial"/>
          <w:sz w:val="18"/>
          <w:szCs w:val="18"/>
          <w:i w:val="1"/>
          <w:iCs w:val="1"/>
          <w:color w:val="auto"/>
        </w:rPr>
        <w:t xml:space="preserve"> Item 7</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Note 11.</w:t>
      </w:r>
    </w:p>
    <w:p>
      <w:pPr>
        <w:spacing w:after="0" w:line="12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discussed above and further detailed in Note 11, the COVID-19 disruptions resulted in the widespread closures of LBO shops across the U.K., which, along with global economic uncertainty, contributed to further deterioration in business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ind w:right="40"/>
        <w:spacing w:after="0" w:line="257" w:lineRule="auto"/>
        <w:rPr>
          <w:sz w:val="20"/>
          <w:szCs w:val="20"/>
          <w:color w:val="auto"/>
        </w:rPr>
      </w:pPr>
      <w:r>
        <w:rPr>
          <w:rFonts w:ascii="Arial" w:cs="Arial" w:eastAsia="Arial" w:hAnsi="Arial"/>
          <w:sz w:val="18"/>
          <w:szCs w:val="18"/>
          <w:color w:val="auto"/>
        </w:rPr>
        <w:t>conditions from our 2019 annual goodwill test date, which resulted in a goodwill impairment charge of $54 million during the first quarter of 2020. While our annual goodwill impairment test as of October 1, 2021 indicated that the carrying value of our U.K. Gaming reporting is not in excess than that of its estimated fair value, future adverse changes to our projections, could negatively impact the recoverability of the remaining carrying value of our goodwill and other assets for our U.K. Gaming reporting unit, which might result in additional material impairment charges. The remaining goodwill balance for our U.K. Gaming reporting unit as of December 31, 2021 was $127 million.</w:t>
      </w:r>
    </w:p>
    <w:p>
      <w:pPr>
        <w:spacing w:after="0" w:line="12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Moreover, application of the goodwill impairment test requires judgment, including the identification of reporting units, assignment of assets and liabilities to reporting units, assignment of goodwill to reporting units, and determination of the fair value of each reporting unit. We cannot predict the occurrence of impairments, and we cannot assure that we will not have to record additional impairment charges in the future.</w:t>
      </w:r>
    </w:p>
    <w:p>
      <w:pPr>
        <w:spacing w:after="0" w:line="8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During the fourth quarter of 2021 and as a result of corporate-wide rebranding, we determined that useful life for certain of our indefinite-lived and finite-lived trade names in our Gaming business segment warrant a change. We first performed an impairment assessment, which indicated that carrying values of these trade names are recoverable (or for our indefinite-lived assets, the estimated fair value was more likely than not in-excess of the carrying value). The change in useful life determination was treated as a change in estimate with a $109 million carrying value of these legacy trade names being amortized on a straight-line basis over a twenty-month period beginning in the fourth quarter of 2021, which materially approximates the expected pattern of use over their remaining useful lives and periods over which these legacy trade names will contribute to the future cash flows of the respective asset groups. The incremental expense of this change for the year ended December 31, 2021 was $10 million and is recorded in D&amp;A. However, this could change in the future depending on prevailing conditions that could result in impairment charges. Such charges could materially adversely affect our businesses, financial condition and 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key employees and rely on skilled employees with creative and technical backgrounds.</w:t>
      </w:r>
    </w:p>
    <w:p>
      <w:pPr>
        <w:spacing w:after="0" w:line="158"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We depend on the continued performance of our executive officers and key personnel, including Barry Cottle, our President and Chief Executive Officer. Our ability to retain certain key employees and skilled technical workers has been and may continue to be impaired due to the COVID-19 pandemic. If we lose the services of any of our executive officers or key personnel and cannot find suitable replacements for such persons in a timely manner, it could have an adverse impact on our business. Our ability to expand is dependent on our ability to recruit and retain talented employees in the U.S. and internationally who are capable of leading our employees to achieve our strategic objectives.</w:t>
      </w:r>
    </w:p>
    <w:p>
      <w:pPr>
        <w:spacing w:after="0" w:line="9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also rely on our highly skilled, technically trained and creative employees to develop new technologies and create innovative products. Such employees, particularly game designers, engineers and project managers with desirable skill sets are in high demand, and we devote significant resources to identifying, hiring, training, successfully integrating and retaining these employees. 2021, in particular, was marked by a labor shortage that made, and continues to make, hiring and retaining skilled employees to support our products highly competitive. A lack of skilled technical workers could delay or negatively impact our business plans, ability to compete, results of operations, cash flows and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maintain adequate internal control over our financial reporting, it could adversely affect our reputation and business.</w:t>
      </w:r>
    </w:p>
    <w:p>
      <w:pPr>
        <w:spacing w:after="0" w:line="16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We are responsible for establishing and maintaining adequate internal control over financial reporting. If we cannot maintain and execute adequate internal control over financial reporting or when necessary implement new or improved controls that provide reasonable assurance of the reliability of the financial reporting and preparation of our financial statements for external use, we may suffer harm to our reputation, fail to meet our public reporting requirements on a timely basis or be unable to properly report on our business and our results of operations, cash flows and financial condition. Additionally, the inherent limitations of internal controls over financial reporting may not prevent or detect all misstatements or fraud, regardless of the adequacy of those controls. We are currently undertaking an ERP system implementation in our largest business segment. In addition, the adoption of any new accounting standards may require us to add new or change existing internal controls, which may not be successful. Each of the preceding changes could materially impact our internal control over financial reporting. As of December 31, 2021, we have concluded that our internal control over financial reporting was effective based on criteria outlined in </w:t>
      </w:r>
      <w:r>
        <w:rPr>
          <w:rFonts w:ascii="Arial" w:cs="Arial" w:eastAsia="Arial" w:hAnsi="Arial"/>
          <w:sz w:val="17"/>
          <w:szCs w:val="17"/>
          <w:i w:val="1"/>
          <w:iCs w:val="1"/>
          <w:color w:val="auto"/>
        </w:rPr>
        <w:t>Part II, Item 9A</w:t>
      </w:r>
      <w:r>
        <w:rPr>
          <w:rFonts w:ascii="Arial" w:cs="Arial" w:eastAsia="Arial" w:hAnsi="Arial"/>
          <w:sz w:val="17"/>
          <w:szCs w:val="17"/>
          <w:color w:val="auto"/>
        </w:rPr>
        <w:t xml:space="preserve"> “</w:t>
      </w:r>
      <w:r>
        <w:rPr>
          <w:rFonts w:ascii="Arial" w:cs="Arial" w:eastAsia="Arial" w:hAnsi="Arial"/>
          <w:sz w:val="17"/>
          <w:szCs w:val="17"/>
          <w:i w:val="1"/>
          <w:iCs w:val="1"/>
          <w:color w:val="auto"/>
        </w:rPr>
        <w:t>Controls and Procedures</w:t>
      </w:r>
      <w:r>
        <w:rPr>
          <w:rFonts w:ascii="Arial" w:cs="Arial" w:eastAsia="Arial" w:hAnsi="Arial"/>
          <w:sz w:val="17"/>
          <w:szCs w:val="17"/>
          <w:color w:val="auto"/>
        </w:rPr>
        <w:t>” of this Annual Report on Form 10-K, however, we cannot assure that material weaknesses will not be identified in the future.</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results of operations, cash flows and financial condition could be affected by severe weather and other geological events in the locations where we or our customers, suppliers or regulators operate.</w:t>
      </w:r>
    </w:p>
    <w:p>
      <w:pPr>
        <w:spacing w:after="0" w:line="103"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 xml:space="preserve">We may be impacted by severe weather and other geological events, including hurricanes, earthquakes, floods or tsunamis, that could disrupt our operations or the operations of our customers, suppliers, data service providers and regulators. Natural disasters or other disruptions at any of our facilities or our suppliers’ facilities, such as </w:t>
      </w:r>
      <w:r>
        <w:rPr>
          <w:rFonts w:ascii="Arial" w:cs="Arial" w:eastAsia="Arial" w:hAnsi="Arial"/>
          <w:sz w:val="18"/>
          <w:szCs w:val="18"/>
          <w:i w:val="1"/>
          <w:iCs w:val="1"/>
          <w:color w:val="auto"/>
        </w:rPr>
        <w:t>Amazon Web Services</w:t>
      </w:r>
      <w:r>
        <w:rPr>
          <w:rFonts w:ascii="Arial" w:cs="Arial" w:eastAsia="Arial" w:hAnsi="Arial"/>
          <w:sz w:val="18"/>
          <w:szCs w:val="18"/>
          <w:color w:val="auto"/>
        </w:rPr>
        <w:t xml:space="preserve">, </w:t>
      </w:r>
      <w:r>
        <w:rPr>
          <w:rFonts w:ascii="Arial" w:cs="Arial" w:eastAsia="Arial" w:hAnsi="Arial"/>
          <w:sz w:val="18"/>
          <w:szCs w:val="18"/>
          <w:i w:val="1"/>
          <w:iCs w:val="1"/>
          <w:color w:val="auto"/>
        </w:rPr>
        <w:t>Apple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5" w:name="page46"/>
    <w:bookmarkEnd w:id="45"/>
    <w:p>
      <w:pPr>
        <w:ind w:right="40"/>
        <w:spacing w:after="0" w:line="296" w:lineRule="auto"/>
        <w:rPr>
          <w:sz w:val="20"/>
          <w:szCs w:val="20"/>
          <w:color w:val="auto"/>
        </w:rPr>
      </w:pPr>
      <w:r>
        <w:rPr>
          <w:rFonts w:ascii="Arial" w:cs="Arial" w:eastAsia="Arial" w:hAnsi="Arial"/>
          <w:sz w:val="16"/>
          <w:szCs w:val="16"/>
          <w:i w:val="1"/>
          <w:iCs w:val="1"/>
          <w:color w:val="auto"/>
        </w:rPr>
        <w:t>Google</w:t>
      </w:r>
      <w:r>
        <w:rPr>
          <w:rFonts w:ascii="Arial" w:cs="Arial" w:eastAsia="Arial" w:hAnsi="Arial"/>
          <w:sz w:val="16"/>
          <w:szCs w:val="16"/>
          <w:color w:val="auto"/>
        </w:rPr>
        <w:t>,</w:t>
      </w:r>
      <w:r>
        <w:rPr>
          <w:rFonts w:ascii="Arial" w:cs="Arial" w:eastAsia="Arial" w:hAnsi="Arial"/>
          <w:sz w:val="16"/>
          <w:szCs w:val="16"/>
          <w:i w:val="1"/>
          <w:iCs w:val="1"/>
          <w:color w:val="auto"/>
        </w:rPr>
        <w:t xml:space="preserve"> Facebook</w:t>
      </w:r>
      <w:r>
        <w:rPr>
          <w:rFonts w:ascii="Arial" w:cs="Arial" w:eastAsia="Arial" w:hAnsi="Arial"/>
          <w:sz w:val="16"/>
          <w:szCs w:val="16"/>
          <w:color w:val="auto"/>
        </w:rPr>
        <w:t>,</w:t>
      </w:r>
      <w:r>
        <w:rPr>
          <w:rFonts w:ascii="Arial" w:cs="Arial" w:eastAsia="Arial" w:hAnsi="Arial"/>
          <w:sz w:val="16"/>
          <w:szCs w:val="16"/>
          <w:i w:val="1"/>
          <w:iCs w:val="1"/>
          <w:color w:val="auto"/>
        </w:rPr>
        <w:t xml:space="preserve"> Amazon </w:t>
      </w:r>
      <w:r>
        <w:rPr>
          <w:rFonts w:ascii="Arial" w:cs="Arial" w:eastAsia="Arial" w:hAnsi="Arial"/>
          <w:sz w:val="16"/>
          <w:szCs w:val="16"/>
          <w:color w:val="auto"/>
        </w:rPr>
        <w:t>and</w:t>
      </w:r>
      <w:r>
        <w:rPr>
          <w:rFonts w:ascii="Arial" w:cs="Arial" w:eastAsia="Arial" w:hAnsi="Arial"/>
          <w:sz w:val="16"/>
          <w:szCs w:val="16"/>
          <w:i w:val="1"/>
          <w:iCs w:val="1"/>
          <w:color w:val="auto"/>
        </w:rPr>
        <w:t xml:space="preserve"> Microsoft </w:t>
      </w:r>
      <w:r>
        <w:rPr>
          <w:rFonts w:ascii="Arial" w:cs="Arial" w:eastAsia="Arial" w:hAnsi="Arial"/>
          <w:sz w:val="16"/>
          <w:szCs w:val="16"/>
          <w:color w:val="auto"/>
        </w:rPr>
        <w:t>may impair or delay the operation, development, provisions or delivery of our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Additionally, disruptions experienced by our regulators due to natural disasters or otherwise could delay our introduction of new products or entry into new jurisdictions where regulatory approval is necessary. While we insure against certain business interruption risks, we cannot assure that such insurance will compensate us for any losses incurred as a result of natural or other disasters. Any serious disruption to our operations, or those of our customers, our suppliers, data service providers, or our regulators, could have a material adverse effect on our results of operations, cash flows and 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and social responsibility and reputation.</w:t>
      </w:r>
    </w:p>
    <w:p>
      <w:pPr>
        <w:spacing w:after="0" w:line="14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diversity and inclusion, sustainability and social responsibility. Any harm to our reputation could impact employee engagement and retention, our corporate culture and the willingness of customers and our partners to do business with us, which could have a material adverse effect on our business, results of operations and cash flows.</w:t>
      </w:r>
    </w:p>
    <w:p>
      <w:pPr>
        <w:spacing w:after="0" w:line="1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could incur costs in the event of violations of, or liabilities under, environmental laws, which may adversely affect our business and our results of operations, cash flows and financial condition.</w:t>
      </w:r>
    </w:p>
    <w:p>
      <w:pPr>
        <w:spacing w:after="0" w:line="103" w:lineRule="exact"/>
        <w:rPr>
          <w:sz w:val="20"/>
          <w:szCs w:val="20"/>
          <w:color w:val="auto"/>
        </w:rPr>
      </w:pPr>
    </w:p>
    <w:p>
      <w:pPr>
        <w:ind w:firstLine="648"/>
        <w:spacing w:after="0" w:line="219" w:lineRule="exact"/>
        <w:rPr>
          <w:sz w:val="20"/>
          <w:szCs w:val="20"/>
          <w:color w:val="auto"/>
        </w:rPr>
      </w:pPr>
      <w:r>
        <w:rPr>
          <w:rFonts w:ascii="Arial" w:cs="Arial" w:eastAsia="Arial" w:hAnsi="Arial"/>
          <w:sz w:val="16"/>
          <w:szCs w:val="16"/>
          <w:color w:val="auto"/>
        </w:rPr>
        <w:t>Our operations and real property are subject to U.S. and foreign environmental laws and regulations, including those relating to air emissions, the management and disposal of hazardous substances and wastes and the cleanup of contaminated sites. We could incur costs, including cleanup costs, fines or penalties, and third</w:t>
      </w:r>
      <w:r>
        <w:rPr>
          <w:rFonts w:ascii="MS PGothic" w:cs="MS PGothic" w:eastAsia="MS PGothic" w:hAnsi="MS PGothic"/>
          <w:sz w:val="16"/>
          <w:szCs w:val="16"/>
          <w:color w:val="auto"/>
        </w:rPr>
        <w:t>‑</w:t>
      </w:r>
      <w:r>
        <w:rPr>
          <w:rFonts w:ascii="Arial" w:cs="Arial" w:eastAsia="Arial" w:hAnsi="Arial"/>
          <w:sz w:val="16"/>
          <w:szCs w:val="16"/>
          <w:color w:val="auto"/>
        </w:rPr>
        <w:t>party claims as a result of violations of, or liabilities under, environmental laws, which could negatively impact our business and our results of operations, cash flows and financial condition. Some of our operations require environmental permits and controls to prevent or reduce environmental pollution, and these permits are subject to review, renewal and modification by issuing authorities.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our business and our results of operations, cash flows and financial condition.</w:t>
      </w:r>
    </w:p>
    <w:p>
      <w:pPr>
        <w:spacing w:after="0" w:line="158"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We are and may become subject to litigation claims in the operation of our business, including, but not limited to, with respect to employee matters, alleged product and system malfunctions, alleged intellectual property infringement and claims relating to our contracts, licenses and strategic investments. We have incurred and may incur significant expense defending or settling any such litigation. Additionally, adverse judgments that have been and may be decided against us resulted and could result in significant monetary damages or injunctive relief that could adversely affect our ability to conduct our business and our results of operations, cash flows and financial condition. For example, as as described more fully in Note 20 below, on April 17, 2018, a plaintiff, Sheryl Fife, filed a putative class action complaint, Fife v. Scientific Games Corporation, against SGC in the United States District Court for the Western District of Washington. On November 23, 2021, we entered into an agreement in principle to settle the lawsuit for the amount of $24.5 million. On January 18, 2022, the parties executed a settlement agreement, and plaintiff filed an unopposed motion for preliminary approval of the parties’ proposed settlement. On January 19, 2022, the district court granted preliminary approval to the parties’ proposed settlement, and scheduled a hearing for final approval of the settlement on June 23, 2022. Although the case was brought against Scientific Games, pursuant to the Intercompany Services Agreement, we expect SciPlay to cover or contribute to the settlement amount due to the matter arising as a result of our business. But if SciPlay is unable to cover or contribute to the settlement amount, we may incur the full expense of the settlement amount. For additional information regarding our litigation, see Note 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perform under our contracts may result in substantial monetary liquidated damages and contract termination.</w:t>
      </w:r>
    </w:p>
    <w:p>
      <w:pPr>
        <w:spacing w:after="0" w:line="144"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Our contracts, including our Gaming contracts relating to the provision of VLTs, typically permit a counterparty to terminate the contract at any time for a material failure to perform, other specified reasons and, in many cases, for no reason at all. Upon such a termination or failure to perform, we may be required to refund fees paid to us for services performed or allow our customers to return our products to us for a full refund. In the past, we have paid or incurred liquidated damages and have been required to allow the return of VLTs for a full refund under our contracts, and material amounts of liquidated damages could be imposed on us in the future, which could, if imposed, have a material adverse effect on our business prospects, results of operations, cash flows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for product defects or other claims relating to our products.</w:t>
      </w:r>
    </w:p>
    <w:p>
      <w:pPr>
        <w:spacing w:after="0" w:line="15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products could be defective, fail to perform as designed or otherwise cause harm to our customers, their equipment or their products. If any of our products are defective, we may be required to recall the products and/or repair or replace them, which could result in substantial expenses and affect our profitability. Any problem with the performance of our products, such as a false jackpot or other prize, could harm our reputation, which could result in a loss of sales to customers and/or potential customers. In addition, the occurrence of errors in, or fraudulent manipulation of, our products or software may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ind w:right="80"/>
        <w:spacing w:after="0" w:line="271" w:lineRule="auto"/>
        <w:rPr>
          <w:sz w:val="20"/>
          <w:szCs w:val="20"/>
          <w:color w:val="auto"/>
        </w:rPr>
      </w:pPr>
      <w:r>
        <w:rPr>
          <w:rFonts w:ascii="Arial" w:cs="Arial" w:eastAsia="Arial" w:hAnsi="Arial"/>
          <w:sz w:val="17"/>
          <w:szCs w:val="17"/>
          <w:color w:val="auto"/>
        </w:rPr>
        <w:t>give rise to claims by our customers or by our customers’ patrons, including claims by our customers for lost revenues and related litigation that could result in significant liability. Any claims brought against us by customers may result in diversion of management’s time and attention, expenditure of large amounts of cash on legal fees and payment of damages, lower demand for our products or services, or injury to our reputation. Our insurance may not sufficiently cover a judgment against us or a settlement payment and is subject to customary deductibles, limits and exclusions. In addition, a judgment against us or a settlement could make it difficult for us to obtain insurance in the coverage amounts necessary to adequately insure our businesses, or at all, and could materially increase our insurance premiums and deductibles. In addition, software bugs or malfunctions, errors in distribution or installation of our software, failure of our products to perform as approved by the appropriate regulatory bodies or other errors or malfunctions, may subject us to investigation or other action by gaming regulatory authorities, including fines.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disputes and union organizing activities may have an adverse effect on our operations.</w:t>
      </w:r>
    </w:p>
    <w:p>
      <w:pPr>
        <w:spacing w:after="0" w:line="14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Certain of our employees are represented by unions or works councils, including employees in Europe, South America and Canada. In particular, the majority of our employees at our printing facilities in the U.K., Chile and Quebec, the majority of our employees in Austria and Germany, and a small number of employees in the U.S. are represented by unions or work councils. While we believe our relations with our employees are satisfactory, we cannot predict whether we will be successful in negotiating new collective bargaining agreements without any disruptions in our operations or higher labor costs.</w:t>
      </w:r>
    </w:p>
    <w:p>
      <w:pPr>
        <w:spacing w:after="0" w:line="76"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We cannot assure that we will not encounter conflicts or strikes with any labor unions that represent our employees or union organizing activities at our non-unionized facilities. Any of the foregoing could adversely impact our results of operations, cash flows and financial condition or our customers’ operations, could cause us to lose customers, or could increase our labor 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Discontinued Operations</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Unfavorable economic conditions, including those caused by the COVID-19 pandemic, have and could continue to significantly disrupt our Lottery and Sports Betting businesses.</w:t>
      </w:r>
    </w:p>
    <w:p>
      <w:pPr>
        <w:spacing w:after="0" w:line="10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Unfavorable economic conditions, including those caused by the COVID-19 pandemic, have caused, and could continue to cause, some of our Lottery customers to temporarily close lottery operations, decrease spending on marketing of or purchases of Lottery products or declare bankruptcy, which would adversely affect our business. In our Lottery business, we believe that difficult economic conditions have contributed, or may contribute, to reductions in spending on marketing by our customers and, in certain instances, less favorable terms under our contracts, as many of our customers face budget shortfalls and seek to cut costs.</w:t>
      </w:r>
    </w:p>
    <w:p>
      <w:pPr>
        <w:spacing w:after="0" w:line="12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COVID-19 pandemic also resulted, and could continue to result, in the suspension or cancellation of some sporting events which has and could continue to negatively impact the financial condition of our sportsbook customers, their ability to purchase development and other services, their risk of payment default, or their spending levels as they seek to reduce costs, each of which could negatively impact our Sports Betting business revenue.</w:t>
      </w:r>
    </w:p>
    <w:p>
      <w:pPr>
        <w:spacing w:after="0" w:line="6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Within our Lottery business, we often enter into joint ventures or other business relationships in foreign jurisdictions, which presents additional risks, including not realizing the operating efficiencies, competitive advantages or financial results that we anticipate.</w:t>
      </w:r>
    </w:p>
    <w:p>
      <w:pPr>
        <w:spacing w:after="0" w:line="79" w:lineRule="exact"/>
        <w:rPr>
          <w:sz w:val="20"/>
          <w:szCs w:val="20"/>
          <w:color w:val="auto"/>
        </w:rPr>
      </w:pPr>
    </w:p>
    <w:p>
      <w:pPr>
        <w:ind w:right="280" w:firstLine="648"/>
        <w:spacing w:after="0" w:line="220" w:lineRule="exact"/>
        <w:rPr>
          <w:sz w:val="20"/>
          <w:szCs w:val="20"/>
          <w:color w:val="auto"/>
        </w:rPr>
      </w:pPr>
      <w:r>
        <w:rPr>
          <w:rFonts w:ascii="Arial" w:cs="Arial" w:eastAsia="Arial" w:hAnsi="Arial"/>
          <w:sz w:val="16"/>
          <w:szCs w:val="16"/>
          <w:color w:val="auto"/>
        </w:rPr>
        <w:t>Our investment in foreign jurisdictions within the Lottery segment often entails entering into joint ventures or other business relationships with locally based entities, which can involve additional risks arising from our lack of sole decision</w:t>
      </w:r>
      <w:r>
        <w:rPr>
          <w:rFonts w:ascii="MS PGothic" w:cs="MS PGothic" w:eastAsia="MS PGothic" w:hAnsi="MS PGothic"/>
          <w:sz w:val="16"/>
          <w:szCs w:val="16"/>
          <w:color w:val="auto"/>
        </w:rPr>
        <w:t>‑</w:t>
      </w:r>
      <w:r>
        <w:rPr>
          <w:rFonts w:ascii="Arial" w:cs="Arial" w:eastAsia="Arial" w:hAnsi="Arial"/>
          <w:sz w:val="16"/>
          <w:szCs w:val="16"/>
          <w:color w:val="auto"/>
        </w:rPr>
        <w:t>making authority, our reliance on a partner’s financial condition, inconsistency between our business interests or goals and those of our partners and disputes between us and our partners, see the risk factor above captioned “We may not succeed in realizing the anticipated benefits of our strategic equity investments and relationships.”</w:t>
      </w:r>
    </w:p>
    <w:p>
      <w:pPr>
        <w:spacing w:after="0" w:line="13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may not realize the operating efficiencies, competitive advantages or financial results that we anticipate from our investments in foreign jurisdictions and our failure to effectively manage the risks associated with our operations in foreign jurisdictions could have a material adverse effect on our business prospects, results of operations, cash flows and financial condition.</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not have sufficient cash flows from operating activities, cash on hand and available borrowings under our credit agreement to finance required capital expenditures under new contracts and meet our other cash needs or satisfy our minimum liquidity covenant. These obligations require a significant amount of cash, which would reduce our available liquidity.</w:t>
      </w:r>
    </w:p>
    <w:p>
      <w:pPr>
        <w:spacing w:after="0" w:line="116"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Our Lottery business generally requires significant upfront capital expenditures for lottery terminal assembly, software customization and implementation, systems and equipment installation and telecommunications configuration. In connection with a renewal or bid of a Lottery systems contract, a customer may seek to obtain new equipment or impose new service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ind w:right="40"/>
        <w:spacing w:after="0" w:line="286" w:lineRule="auto"/>
        <w:rPr>
          <w:sz w:val="20"/>
          <w:szCs w:val="20"/>
          <w:color w:val="auto"/>
        </w:rPr>
      </w:pPr>
      <w:r>
        <w:rPr>
          <w:rFonts w:ascii="Arial" w:cs="Arial" w:eastAsia="Arial" w:hAnsi="Arial"/>
          <w:sz w:val="17"/>
          <w:szCs w:val="17"/>
          <w:color w:val="auto"/>
        </w:rPr>
        <w:t>requirements, which may require additional capital expenditures in order to retain or win the contract. In connection with the renewal of Lotterie Nazionali S.r.l.’s (“LNS”) exclusive concession to operate the Italian instant games lottery, we paid our pro rata share, or €160 million (€10 million paid in 2017 and the remaining €150 million paid in 2018), of the €800 million payment LNS was required to make to obtain the concession.</w:t>
      </w:r>
    </w:p>
    <w:p>
      <w:pPr>
        <w:spacing w:after="0" w:line="9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Historically, we have funded these upfront costs through cash flows generated from operations, available cash on hand and borrowings under our credit agreement. In addition, we have seen an increase in lottery requests for proposal, some involving PMAs, which include economic terms that expose us to increased risk, such as requiring the guarantee of specific income thresholds or significant upfront payments. In addition, to the extent we are compensated under any of our contractual arrangements based on a share of our customers’ revenue rather than payment for our expenses and services, we may incur upfront costs (which may be significant) prior to receipt of any revenue under such arrangements. Our ability to generate revenue and to continue to procure new contracts will depend on, among other things, our then present liquidity levels or our ability to obtain additional financing on commercially reasonable terms, which are negatively affected by the recent COVID-19 pandemic. See the similarly titled risk factor above captioned in the “Risks Relating to our Capital Structure” section.</w:t>
      </w:r>
    </w:p>
    <w:p>
      <w:pPr>
        <w:spacing w:after="0" w:line="9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industries, and our success depends on our ability to effectively compete with numerous domestic and foreign businesses.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Lottery</w:t>
      </w:r>
    </w:p>
    <w:p>
      <w:pPr>
        <w:spacing w:after="0" w:line="144" w:lineRule="exact"/>
        <w:rPr>
          <w:sz w:val="20"/>
          <w:szCs w:val="20"/>
          <w:color w:val="auto"/>
        </w:rPr>
      </w:pPr>
    </w:p>
    <w:p>
      <w:pPr>
        <w:ind w:right="60" w:firstLine="648"/>
        <w:spacing w:after="0" w:line="257" w:lineRule="auto"/>
        <w:rPr>
          <w:sz w:val="20"/>
          <w:szCs w:val="20"/>
          <w:color w:val="auto"/>
        </w:rPr>
      </w:pPr>
      <w:r>
        <w:rPr>
          <w:rFonts w:ascii="Arial" w:cs="Arial" w:eastAsia="Arial" w:hAnsi="Arial"/>
          <w:sz w:val="17"/>
          <w:szCs w:val="17"/>
          <w:color w:val="auto"/>
        </w:rPr>
        <w:t>Our Lottery business faces competition from a number of domestic and foreign businesses, some of which have substantially greater financial resources than we do, which impacts our ability to win new contracts and renew existing contracts. In addition, the U.S. lottery industry has matured with 48 U.S. jurisdictions offering instant game lotteries and/or draw lotteries. As some jurisdictions seek to privatize or outsource lottery operations (including partial privatizations through PMAs or otherwise), we face competition from both traditional and new competitors with respect to these opportunities. In some cases, we may find it necessary or desirable to enter into strategic relationships with third parties, including competitors, and may be required to commit significant sums of money in order to pursue these opportunities.</w:t>
      </w:r>
    </w:p>
    <w:p>
      <w:pPr>
        <w:spacing w:after="0" w:line="94"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We continue to operate in an industry of intense price-based competition, which has affected and could continue to affect the number and the profitability of the lottery contracts we win. We believe our principal competitors in the instant lottery product business have increased, and are expected to continue to increase, their production capacity, resulting in pricing pressures in the instant lottery product business. This may adversely affect our ability to win or renew instant lottery product contracts or may reduce the profitability of instant lottery product contracts that we do win. We also compete in the international instant lottery product business with low-price printers whose quality we believe is lower than ours in regulated environments where laws are being reinterpreted to create competition from non-traditional lottery vendors and products. Our U.S. instant lottery product business could be adversely affected if additional foreign competitors operating in Canada export their lottery products to the U.S. or if other foreign competitors establish printing facilities in the U.S. or Canada to supply the U.S.</w:t>
      </w:r>
    </w:p>
    <w:p>
      <w:pPr>
        <w:spacing w:after="0" w:line="113"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We face increased price competition in our Lottery systems business from our two principal competitors in that business. This may adversely affect our ability to win or renew lottery systems contracts or reduce the profitability of lottery systems contracts that we do win. We routinely bid against IGT and Intralot in lottery systems bids. Since 2016, we have taken away several of their incumbent supplier contracts including Arizona lottery systems (IGT), Kansas lottery systems (IGT), Turkey sports betting system (Intralot), and Turkey national lottery systems (IGT).</w:t>
      </w:r>
    </w:p>
    <w:p>
      <w:pPr>
        <w:spacing w:after="0" w:line="88" w:lineRule="exact"/>
        <w:rPr>
          <w:sz w:val="20"/>
          <w:szCs w:val="20"/>
          <w:color w:val="auto"/>
        </w:rPr>
      </w:pPr>
    </w:p>
    <w:p>
      <w:pPr>
        <w:ind w:right="40" w:firstLine="648"/>
        <w:spacing w:after="0" w:line="262" w:lineRule="auto"/>
        <w:rPr>
          <w:sz w:val="20"/>
          <w:szCs w:val="20"/>
          <w:color w:val="auto"/>
        </w:rPr>
      </w:pPr>
      <w:r>
        <w:rPr>
          <w:rFonts w:ascii="Arial" w:cs="Arial" w:eastAsia="Arial" w:hAnsi="Arial"/>
          <w:sz w:val="17"/>
          <w:szCs w:val="17"/>
          <w:color w:val="auto"/>
        </w:rPr>
        <w:t>Any future success of our Lottery business will also depend, in part, on the success of the lottery industry in attracting and retaining players in the face of increased competition for these players’ entertainment dollars, and our own success in developing innovative products and systems to achieve this goal. Our failure to achieve this goal could reduce our revenue from our Lottery operations. Additionally, pressure on state and other government budgets could lead to other forms of gaming being legalized, which could adversely impact our Lottery business.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Sports Betting</w:t>
      </w:r>
    </w:p>
    <w:p>
      <w:pPr>
        <w:spacing w:after="0" w:line="158"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Our Sports Betting business is also subject to significant competition. Our Sports Betting business focuses on the supply of wagering solutions to operators, and there are a number of competitors in that industry, including from current customers who may desire to provide their own wagering platforms.</w:t>
      </w:r>
    </w:p>
    <w:p>
      <w:pPr>
        <w:spacing w:after="0" w:line="114" w:lineRule="exact"/>
        <w:rPr>
          <w:sz w:val="20"/>
          <w:szCs w:val="20"/>
          <w:color w:val="auto"/>
        </w:rPr>
      </w:pPr>
    </w:p>
    <w:p>
      <w:pPr>
        <w:ind w:right="60" w:firstLine="648"/>
        <w:spacing w:after="0" w:line="279" w:lineRule="auto"/>
        <w:rPr>
          <w:sz w:val="20"/>
          <w:szCs w:val="20"/>
          <w:color w:val="auto"/>
        </w:rPr>
      </w:pPr>
      <w:r>
        <w:rPr>
          <w:rFonts w:ascii="Arial" w:cs="Arial" w:eastAsia="Arial" w:hAnsi="Arial"/>
          <w:sz w:val="16"/>
          <w:szCs w:val="16"/>
          <w:color w:val="auto"/>
        </w:rPr>
        <w:t>In jurisdictions that authorize sports betting, we cannot assure that we will be successful in offering our technology, content and services to sports betting operators as we expect to face intense competition from our traditional competitors in the gaming and lottery industries and a number of other domestic and foreign providers (or, in some cases, the operators themselves), some of which have substantially greater financial resources and/or experience in this area than we do. In addition, there is a risk that the authorization of the sale of gaming and lottery offerings via digital channels in a particular jurisdiction could, under certain circumstances, adversely impact our Gaming and Lottery offerings through traditional channels in such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8" w:name="page49"/>
    <w:bookmarkEnd w:id="48"/>
    <w:p>
      <w:pPr>
        <w:ind w:right="540"/>
        <w:spacing w:after="0" w:line="261" w:lineRule="auto"/>
        <w:rPr>
          <w:sz w:val="20"/>
          <w:szCs w:val="20"/>
          <w:color w:val="auto"/>
        </w:rPr>
      </w:pPr>
      <w:r>
        <w:rPr>
          <w:rFonts w:ascii="Arial" w:cs="Arial" w:eastAsia="Arial" w:hAnsi="Arial"/>
          <w:sz w:val="18"/>
          <w:szCs w:val="18"/>
          <w:color w:val="auto"/>
        </w:rPr>
        <w:t>jurisdiction. Any such adverse impact would be magnified to the extent we are not involved in, and generating revenue from, the provision of digital gaming and lottery products or services in such jurisdiction.</w:t>
      </w:r>
    </w:p>
    <w:p>
      <w:pPr>
        <w:spacing w:after="0" w:line="103" w:lineRule="exact"/>
        <w:rPr>
          <w:sz w:val="20"/>
          <w:szCs w:val="20"/>
          <w:color w:val="auto"/>
        </w:rPr>
      </w:pPr>
    </w:p>
    <w:p>
      <w:pPr>
        <w:ind w:right="400" w:firstLine="648"/>
        <w:spacing w:after="0" w:line="243" w:lineRule="auto"/>
        <w:rPr>
          <w:sz w:val="20"/>
          <w:szCs w:val="20"/>
          <w:color w:val="auto"/>
        </w:rPr>
      </w:pPr>
      <w:r>
        <w:rPr>
          <w:rFonts w:ascii="Arial" w:cs="Arial" w:eastAsia="Arial" w:hAnsi="Arial"/>
          <w:sz w:val="18"/>
          <w:szCs w:val="18"/>
          <w:color w:val="auto"/>
        </w:rPr>
        <w:t>In order to stay competitive in our Sports Betting business, we will need to continue to create and market sports betting solutions that attract players and invest in new and emerging technologies. Some of our competitors may be more willing to provide sports wagering in countries where the relevant laws and regulations are unclear or not uniformly enforced, putting us at a competitive disadvantage if we do not provide services related to including sports wagering in such countries.</w:t>
      </w:r>
    </w:p>
    <w:p>
      <w:pPr>
        <w:spacing w:after="0" w:line="107" w:lineRule="exact"/>
        <w:rPr>
          <w:sz w:val="20"/>
          <w:szCs w:val="20"/>
          <w:color w:val="auto"/>
        </w:rPr>
      </w:pPr>
    </w:p>
    <w:p>
      <w:pPr>
        <w:ind w:right="180" w:firstLine="648"/>
        <w:spacing w:after="0" w:line="248" w:lineRule="auto"/>
        <w:rPr>
          <w:sz w:val="20"/>
          <w:szCs w:val="20"/>
          <w:color w:val="auto"/>
        </w:rPr>
      </w:pPr>
      <w:r>
        <w:rPr>
          <w:rFonts w:ascii="Arial" w:cs="Arial" w:eastAsia="Arial" w:hAnsi="Arial"/>
          <w:sz w:val="18"/>
          <w:szCs w:val="18"/>
          <w:color w:val="auto"/>
        </w:rPr>
        <w:t>Recently, there has been additional significant competition in the sports wagering market as a result of the legislative changes that have encouraged new market participants. Refer to “</w:t>
      </w:r>
      <w:r>
        <w:rPr>
          <w:rFonts w:ascii="Arial" w:cs="Arial" w:eastAsia="Arial" w:hAnsi="Arial"/>
          <w:sz w:val="18"/>
          <w:szCs w:val="18"/>
          <w:i w:val="1"/>
          <w:iCs w:val="1"/>
          <w:color w:val="auto"/>
        </w:rPr>
        <w:t>Government Regulation - iGaming</w:t>
      </w:r>
      <w:r>
        <w:rPr>
          <w:rFonts w:ascii="Arial" w:cs="Arial" w:eastAsia="Arial" w:hAnsi="Arial"/>
          <w:sz w:val="18"/>
          <w:szCs w:val="18"/>
          <w:color w:val="auto"/>
        </w:rPr>
        <w:t xml:space="preserve">” in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of this Annual Report on Form 10-K for a discussion of such legislative changes.</w:t>
      </w:r>
    </w:p>
    <w:p>
      <w:pPr>
        <w:spacing w:after="0" w:line="114" w:lineRule="exact"/>
        <w:rPr>
          <w:sz w:val="20"/>
          <w:szCs w:val="20"/>
          <w:color w:val="auto"/>
        </w:rPr>
      </w:pPr>
    </w:p>
    <w:p>
      <w:pPr>
        <w:jc w:val="both"/>
        <w:ind w:right="320" w:firstLine="648"/>
        <w:spacing w:after="0" w:line="248" w:lineRule="auto"/>
        <w:rPr>
          <w:sz w:val="20"/>
          <w:szCs w:val="20"/>
          <w:color w:val="auto"/>
        </w:rPr>
      </w:pPr>
      <w:r>
        <w:rPr>
          <w:rFonts w:ascii="Arial" w:cs="Arial" w:eastAsia="Arial" w:hAnsi="Arial"/>
          <w:sz w:val="18"/>
          <w:szCs w:val="18"/>
          <w:color w:val="auto"/>
        </w:rPr>
        <w:t>We offer and have in the past offered customers discounts and free trials in connection with our Sports Betting business. We cannot assure that competitive pressure will not cause us to increase the incentives that we offer to our customers, which could adversely impact our results of operations, cash flows and financial condition.</w:t>
      </w:r>
    </w:p>
    <w:p>
      <w:pPr>
        <w:spacing w:after="0" w:line="114"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heavily depend on our ability to win, maintain and renew our customer contracts, including our long-term Lottery contracts, and we could lose substantial revenue if we are unable to renew certain of our contracts on substantially similar terms or at all.</w:t>
      </w:r>
    </w:p>
    <w:p>
      <w:pPr>
        <w:spacing w:after="0" w:line="65"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Generally, our Lottery contracts contain initial multi-year terms, with optional renewal periods at the discretion of the customer. Upon the expiration of any such contract, including any extensions thereof, a new contract may be awarded through a competitive bidding process. Conversely, in some instances, Lottery customers are authorized to extend contracts beyond the term initially agreed in the applicable contract without subjecting the contract to competitive bidding, thereby eliminating the possibility of obtaining that new business.</w:t>
      </w:r>
    </w:p>
    <w:p>
      <w:pPr>
        <w:spacing w:after="0" w:line="10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cannot assure that our current contracts will be extended or that we will be awarded new contracts as a result of competitive bidding processes or otherwise in the future. In addition, it is common for competitors to protest the award of Lottery contracts to us. Such protests could delay or prevent our ability to enter into a new contract. In addition, the recent outbreak of COVID-19 has caused some lotteries to delay the competitive bidding process, which in turn has delayed awards of new contracts. The termination, expiration or failure to renew one or more of our contracts could cause us to lose substantial revenue, which could have an adverse effect on our ability to win or renew other contracts or pursue growth initiatives. We cannot assure that new or renewed contracts will contain terms that are as favorable as our current terms or will contemplate the same scope of products and services as our current contracts, and any less favorable contract terms or diminution in scope could negatively impact our results of operations, cash flows and financial condition.</w:t>
      </w:r>
    </w:p>
    <w:p>
      <w:pPr>
        <w:spacing w:after="0" w:line="12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also required by certain of our customers to provide surety or performance bonds in connection with our contracts. As of December 31, 2021, we had $272 million of outstanding performance bonds. We cannot assure that we will continue to be able to obtain surety or performance bonds on commercially reasonable terms or at all. Our inability to provide such bonds would materially and adversely affect our ability to renew existing or obtain new Lottery contracts.</w:t>
      </w:r>
    </w:p>
    <w:p>
      <w:pPr>
        <w:spacing w:after="0" w:line="10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Given the increased competition in the sports wagering landscape in the U.S., it is crucial that we remain innovative in this field in order to preserve our first-mover advantage, maintain current contracts and gain new contracts.</w:t>
      </w:r>
    </w:p>
    <w:p>
      <w:pPr>
        <w:spacing w:after="0" w:line="10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The success of our Lottery and Sports Betting businesses depends on our ability to produce new and innovative products and services that respond to customer demand and create strong and sustained player appeal. If we fail to do so, we could lose business to our competitors.</w:t>
      </w:r>
    </w:p>
    <w:p>
      <w:pPr>
        <w:spacing w:after="0" w:line="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success depends upon our ability to respond to dynamic customer demand by producing new and innovative products and services. The process of developing new products and services is inherently complex and uncertain. If we fail to accurately anticipate customer needs and end user preferences through the development of new products and services, we could lose business to our competitors, which would adversely affect our results of operations, cash flows and financial condition.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our Lottery business, we believe that innovative game concepts and game content, such as multiplier games and game content that incorporates</w:t>
      </w:r>
    </w:p>
    <w:p>
      <w:pPr>
        <w:spacing w:after="0" w:line="7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licensed brands, can enhance the revenue of our lottery customers and distinguish us from our competitors. We cannot assure that we will be able to sustain the success of our existing game content or effectively develop or obtain from third parties game content or licensed brands that will be widely accepted both by our customers and players.</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Lottery business depends on suppliers and contract manufacturers, and any failure of these parties to meet our performance and quality standards or requirements could cause us to incur additional costs or lose customers.</w:t>
      </w:r>
    </w:p>
    <w:p>
      <w:pPr>
        <w:spacing w:after="0" w:line="10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production of instant lottery products, in particular, depends upon a continuous supply of raw materials, supplies, power and natural resources. Our operating results could be adversely affected by an interruption or cessation in the supply of</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jc w:val="both"/>
        <w:ind w:right="260"/>
        <w:spacing w:after="0" w:line="287" w:lineRule="auto"/>
        <w:rPr>
          <w:sz w:val="20"/>
          <w:szCs w:val="20"/>
          <w:color w:val="auto"/>
        </w:rPr>
      </w:pPr>
      <w:r>
        <w:rPr>
          <w:rFonts w:ascii="Arial" w:cs="Arial" w:eastAsia="Arial" w:hAnsi="Arial"/>
          <w:sz w:val="16"/>
          <w:szCs w:val="16"/>
          <w:color w:val="auto"/>
        </w:rPr>
        <w:t>these items or a serious quality assurance lapse, including as a result of the insolvency of any of our key suppliers. Similarly, the operation of our instant ticket printing presses and the manufacture and maintenance of our lottery systems are dependent upon a regular and continuous supply of raw materials and components, many of which are manufactured or produced outside of the U.S. Certain of the components we use are customized for our products.</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Additionally, in 2021, we experienced pressures on the supply chain related to parts sourcing. See the above risk factor captioned “We depend on our suppliers and contract manufacturers, and any failure of these parties to meet our performance and quality standards or requirements could cause us to incur additional costs or lose customers”.</w:t>
      </w:r>
    </w:p>
    <w:p>
      <w:pPr>
        <w:spacing w:after="0" w:line="12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results of operations for our Sports Betting business fluctuate due to unpredictability and long sales cycles and, therefore, our periodic operating results with regards to our Sports Betting business are not guarantees of future performance.</w:t>
      </w:r>
    </w:p>
    <w:p>
      <w:pPr>
        <w:spacing w:after="0" w:line="8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results of operations for our Sports Betting business can fluctuate due a variety of factors. It is difficult for us to forecast the timing of revenue from sports wagering in our Sports Betting business because our sports wagering customers typically invest substantial time, money and other resources researching their needs and available competitive alternatives before deciding to purchase our solutions. Typically, the larger the potential sale, the more time, money and other resources will be invested by customers. Our sports wagering sales cycles also vary depending on the products and technology our prospective customers are looking to license. As a result, it may take many months after our first contact with a customer before a sale can actually be completed. In addition, we rely on our technology team to integrate our sports wagering software with that of the customer’s, and therefore, our sales efforts are vulnerable to delays at both the customer level and the integration level. During these long sales cycles, events may occur that affect the size or timing of the launch, or even cause it to be cancelled, including: purchasing decisions may be postponed during periods of economic uncertainty; we or our competitors may announce or introduce new solutions; our competitors may offer lower prices; technology problems of customers may arise to slow deadlines or launch targets; or budget and purchasing priorities of customers may change. If any of these events were to occur, sales of our sports wagering solutions or services may be cancelled or delayed, which would reduce our revenue and income.</w:t>
      </w:r>
    </w:p>
    <w:p>
      <w:pPr>
        <w:spacing w:after="0" w:line="10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In light of the foregoing, results for any quarter are not necessarily indicative of the results that may be achieved in another quarter or for the full fiscal year. We cannot assure that the seasonal trends and other factors that have impacted our historical results will repeat in future periods as we cannot influence or forecast many of these factors.</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Regulators and investors may perceive gaming or sports wagering suppliers and operators similarly, and consider their respective regulatory risk to be similar.</w:t>
      </w:r>
    </w:p>
    <w:p>
      <w:pPr>
        <w:spacing w:after="0" w:line="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While operators that directly provide sports wagering services to their customers are generally perceived to be exposed to a greater degree of enforcement risk than their suppliers, in some jurisdictions laws extend to directly impact such suppliers. Furthermore, a supplier’s nexus with a particular jurisdiction may expose it to specific enforcement risks, irrespective of whether there has been an attempt to bring proceedings against any supported operator. In some circumstances, enforcement proceedings brought against an operator may result in action being taken against a supplier (and even brought in the absence of the former).</w:t>
      </w:r>
    </w:p>
    <w:p>
      <w:pPr>
        <w:spacing w:after="0" w:line="12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Ultimately, the market may view, or in the future may view, the regulatory risk associated with the business of supplying software and services to sports wagering operators as being comparable with the regulatory risk attaching to operators themselves. In such circumstances, there is an associated risk that investors may apply valuation methods to any such supplier that are the same as the valuation methods used to value operators, and which build in the same regulatory risk even though, in many territories, such suppliers would be considered sufficiently removed from the transactional activity to warrant the application of a discrete risk analysis. If suppliers to our sports wagering operators suffer financial difficulties from realized regulatory risk, they may not be able to offer their services and products, which could restrict the provision of our services and negatively impact our revenues.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Expectations of a shift to regulated digital sports wagering may not come to fruition.</w:t>
      </w:r>
    </w:p>
    <w:p>
      <w:pPr>
        <w:spacing w:after="0" w:line="14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business strategy includes a gradual shift into new, regulated digital gaming markets. We expect there to be an opportunity to grow revenue by being among the first systems providers to obtain a license to operate digital gaming systems in markets where end-users historically have been reliant on unregulated digital gaming. However, there is no guarantee that end users who are currently engaging in unregulated digital gaming (in the U.S. or elsewhere) will transition away from unregulated gaming to regulated gaming in the wake of regulation, which is itself uncertain as to timing and scope and varies on a jurisdiction by jurisdiction basis. Our ability to influence end-user tastes and habits is limited, and if the introduction of regulation fails to result in a migration of end-users from unregulated gaming to regulated gaming (from which we currently derive and are expected to derive revenue through revenue sharing and fixed fees arrangements with our sports wagering customers), this may have an adverse impact on our operations, financial performance and prospects.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0" w:name="page51"/>
    <w:bookmarkEnd w:id="50"/>
    <w:p>
      <w:pPr>
        <w:ind w:right="40" w:firstLine="648"/>
        <w:spacing w:after="0" w:line="273" w:lineRule="auto"/>
        <w:rPr>
          <w:sz w:val="20"/>
          <w:szCs w:val="20"/>
          <w:color w:val="auto"/>
        </w:rPr>
      </w:pPr>
      <w:r>
        <w:rPr>
          <w:rFonts w:ascii="Arial" w:cs="Arial" w:eastAsia="Arial" w:hAnsi="Arial"/>
          <w:sz w:val="17"/>
          <w:szCs w:val="17"/>
          <w:color w:val="auto"/>
        </w:rPr>
        <w:t>On May 14, 2018, the Supreme Court of the U.S. overturned the PASPA, a decision that opened up a path to legalization of sports wagering across the country. Following this ruling, at least 30 states and the District of Columbia have legalized sports wagering with some of those states permitting online sports wagering. Other states are considering legislation that would permit legal sports wagering, both land based and online. As a result of the change in regulations, we expanded, and expect to further expand, our sports wagering business. Our ability to expand our digital gaming and sports wagering operations depends on adoption of regulations permitting sports wagering in the U.S. We cannot assure when, or if, such regulations will be adopted, or the terms of such regulations, in certain of the jurisdictions in which we operate.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succeed in realizing the anticipated benefits of our strategic equity investments and relationships in our Lottery business.</w:t>
      </w:r>
    </w:p>
    <w:p>
      <w:pPr>
        <w:spacing w:after="0" w:line="15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Under certain circumstances we pursue growth through strategic equity investments, including joint ventures, as a means to, among other things, gain access to new and important geographies, business opportunities and technical expertise, while simultaneously offering the potential for reducing capital requirements.</w:t>
      </w:r>
    </w:p>
    <w:p>
      <w:pPr>
        <w:spacing w:after="0" w:line="11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strategic equity relationships include investments in LNS, Northstar New Jersey Lottery Group LLC (“Northstar New Jersey”), Hellenic Lotteries S.A., Beijing Guard Libang Technology Co. Ltd., and Beijing CITIC Scientific Games Technology Co.</w:t>
      </w:r>
    </w:p>
    <w:p>
      <w:pPr>
        <w:spacing w:after="0" w:line="10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may not realize the anticipated benefits of these strategic equity investments and relationships and other strategic investments and relationships that we may make or enter into, or may not realize them in the timeframes expected. These arrangements pose significant risks that could have a negative effect on our operations, including: the potential diversion of our management’s attention from our core business; the potential failure to realize anticipated synergies, economies of scale or other value associated with these arrangements; unanticipated costs and other unanticipated events or circumstances, including losses for which we may be responsible for our pro rata portion; possible adverse effects on our operating results during any integration process; impairment charges if our strategic equity investments or relationships are not as successful as we originally anticipate; and our potential inability to achieve the intended objectives of these arrangements.</w:t>
      </w:r>
    </w:p>
    <w:p>
      <w:pPr>
        <w:spacing w:after="0" w:line="96" w:lineRule="exact"/>
        <w:rPr>
          <w:sz w:val="20"/>
          <w:szCs w:val="20"/>
          <w:color w:val="auto"/>
        </w:rPr>
      </w:pPr>
    </w:p>
    <w:p>
      <w:pPr>
        <w:ind w:right="120" w:firstLine="648"/>
        <w:spacing w:after="0" w:line="220" w:lineRule="exact"/>
        <w:rPr>
          <w:sz w:val="20"/>
          <w:szCs w:val="20"/>
          <w:color w:val="auto"/>
        </w:rPr>
      </w:pPr>
      <w:r>
        <w:rPr>
          <w:rFonts w:ascii="Arial" w:cs="Arial" w:eastAsia="Arial" w:hAnsi="Arial"/>
          <w:sz w:val="16"/>
          <w:szCs w:val="16"/>
          <w:color w:val="auto"/>
        </w:rPr>
        <w:t>Furthermore, our strategic equity investments and other strategic relationships pose risks arising from our reliance on our partners and our lack of sole decision</w:t>
      </w:r>
      <w:r>
        <w:rPr>
          <w:rFonts w:ascii="MS PGothic" w:cs="MS PGothic" w:eastAsia="MS PGothic" w:hAnsi="MS PGothic"/>
          <w:sz w:val="16"/>
          <w:szCs w:val="16"/>
          <w:color w:val="auto"/>
        </w:rPr>
        <w:t>‑</w:t>
      </w:r>
      <w:r>
        <w:rPr>
          <w:rFonts w:ascii="Arial" w:cs="Arial" w:eastAsia="Arial" w:hAnsi="Arial"/>
          <w:sz w:val="16"/>
          <w:szCs w:val="16"/>
          <w:color w:val="auto"/>
        </w:rPr>
        <w:t>making authority, which may give rise to disputes between us and our partners. For instance, our investments in LNS and Northstar New Jersey are minority investments in ventures whose largest equity holder is Lottomatica and Gtech Corporation (now known as IGT), respectively, and, although certain corporate actions require our prior consent, we do not unilaterally control decisions relating to the governance of these entities.</w:t>
      </w:r>
    </w:p>
    <w:p>
      <w:pPr>
        <w:spacing w:after="0" w:line="13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failure to avoid or mitigate the risks described above or other risks associated with such our strategic arrangements could have a material adverse effect on our results of operations, cash flows and financial condition.</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62"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Our continuing operations occupy approximately 718,000 square feet of space in the U.S and approximately 622,000 square feet of space Internationally. Our discontinued operations occupy approximately 1,167,000 square feet of space in the U.S and approximately 715,000 square feet of space internationally. We believe that these facilities are adequate for our business as presently conducted. Set forth below is an overview of the principal owned and leased real estate properties that support our corporate headquarters and Gaming, SciPlay and iGaming segments.</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960" w:type="dxa"/>
            <w:vAlign w:val="bottom"/>
            <w:gridSpan w:val="2"/>
          </w:tcPr>
          <w:p>
            <w:pPr>
              <w:ind w:left="1120"/>
              <w:spacing w:after="0"/>
              <w:rPr>
                <w:sz w:val="20"/>
                <w:szCs w:val="20"/>
                <w:color w:val="auto"/>
              </w:rPr>
            </w:pPr>
            <w:r>
              <w:rPr>
                <w:rFonts w:ascii="Arial" w:cs="Arial" w:eastAsia="Arial" w:hAnsi="Arial"/>
                <w:sz w:val="16"/>
                <w:szCs w:val="16"/>
                <w:b w:val="1"/>
                <w:bCs w:val="1"/>
                <w:color w:val="auto"/>
              </w:rPr>
              <w:t>Location</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Sq. Ft.</w:t>
            </w:r>
          </w:p>
        </w:tc>
        <w:tc>
          <w:tcPr>
            <w:tcW w:w="4700" w:type="dxa"/>
            <w:vAlign w:val="bottom"/>
            <w:gridSpan w:val="2"/>
          </w:tcPr>
          <w:p>
            <w:pPr>
              <w:ind w:left="1980"/>
              <w:spacing w:after="0"/>
              <w:rPr>
                <w:sz w:val="20"/>
                <w:szCs w:val="20"/>
                <w:color w:val="auto"/>
              </w:rPr>
            </w:pPr>
            <w:r>
              <w:rPr>
                <w:rFonts w:ascii="Arial" w:cs="Arial" w:eastAsia="Arial" w:hAnsi="Arial"/>
                <w:sz w:val="16"/>
                <w:szCs w:val="16"/>
                <w:b w:val="1"/>
                <w:bCs w:val="1"/>
                <w:color w:val="auto"/>
              </w:rPr>
              <w:t>Supports</w:t>
            </w:r>
          </w:p>
        </w:tc>
        <w:tc>
          <w:tcPr>
            <w:tcW w:w="1400" w:type="dxa"/>
            <w:vAlign w:val="bottom"/>
          </w:tcPr>
          <w:p>
            <w:pPr>
              <w:ind w:left="400"/>
              <w:spacing w:after="0"/>
              <w:rPr>
                <w:sz w:val="20"/>
                <w:szCs w:val="20"/>
                <w:color w:val="auto"/>
              </w:rPr>
            </w:pPr>
            <w:r>
              <w:rPr>
                <w:rFonts w:ascii="Arial" w:cs="Arial" w:eastAsia="Arial" w:hAnsi="Arial"/>
                <w:sz w:val="16"/>
                <w:szCs w:val="16"/>
                <w:b w:val="1"/>
                <w:bCs w:val="1"/>
                <w:color w:val="auto"/>
              </w:rPr>
              <w:t>Tenancy</w:t>
            </w:r>
          </w:p>
        </w:tc>
      </w:tr>
      <w:tr>
        <w:trPr>
          <w:trHeight w:val="226"/>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Las Vegas, Nevada</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426,986</w:t>
            </w:r>
          </w:p>
        </w:tc>
        <w:tc>
          <w:tcPr>
            <w:tcW w:w="120" w:type="dxa"/>
            <w:vAlign w:val="bottom"/>
            <w:tcBorders>
              <w:top w:val="single" w:sz="8" w:color="CCEEFF"/>
            </w:tcBorders>
            <w:shd w:val="clear" w:color="auto" w:fill="CCEEFF"/>
          </w:tcPr>
          <w:p>
            <w:pPr>
              <w:spacing w:after="0"/>
              <w:rPr>
                <w:sz w:val="19"/>
                <w:szCs w:val="19"/>
                <w:color w:val="auto"/>
              </w:rPr>
            </w:pPr>
          </w:p>
        </w:tc>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Headquarters, Gaming and iGaming</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Lease/Own</w:t>
            </w:r>
            <w:r>
              <w:rPr>
                <w:rFonts w:ascii="Arial" w:cs="Arial" w:eastAsia="Arial" w:hAnsi="Arial"/>
                <w:sz w:val="23"/>
                <w:szCs w:val="23"/>
                <w:color w:val="auto"/>
                <w:vertAlign w:val="superscript"/>
              </w:rPr>
              <w:t>(1)</w:t>
            </w:r>
          </w:p>
        </w:tc>
      </w:tr>
      <w:tr>
        <w:trPr>
          <w:trHeight w:val="23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India (Bangalore and Chennai)</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143,604</w:t>
            </w:r>
          </w:p>
        </w:tc>
        <w:tc>
          <w:tcPr>
            <w:tcW w:w="12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Gaming, SciPlay and iGaming</w:t>
            </w:r>
          </w:p>
        </w:tc>
        <w:tc>
          <w:tcPr>
            <w:tcW w:w="1400" w:type="dxa"/>
            <w:vAlign w:val="bottom"/>
          </w:tcPr>
          <w:p>
            <w:pPr>
              <w:ind w:left="20"/>
              <w:spacing w:after="0"/>
              <w:rPr>
                <w:sz w:val="20"/>
                <w:szCs w:val="20"/>
                <w:color w:val="auto"/>
              </w:rPr>
            </w:pPr>
            <w:r>
              <w:rPr>
                <w:rFonts w:ascii="Arial" w:cs="Arial" w:eastAsia="Arial" w:hAnsi="Arial"/>
                <w:sz w:val="18"/>
                <w:szCs w:val="18"/>
                <w:color w:val="auto"/>
              </w:rPr>
              <w:t>Lease</w:t>
            </w:r>
          </w:p>
        </w:tc>
      </w:tr>
    </w:tbl>
    <w:p>
      <w:pPr>
        <w:ind w:left="360"/>
        <w:spacing w:after="0"/>
        <w:rPr>
          <w:sz w:val="20"/>
          <w:szCs w:val="20"/>
          <w:color w:val="auto"/>
        </w:rPr>
      </w:pPr>
      <w:r>
        <w:rPr>
          <w:rFonts w:ascii="Arial" w:cs="Arial" w:eastAsia="Arial" w:hAnsi="Arial"/>
          <w:sz w:val="14"/>
          <w:szCs w:val="14"/>
          <w:color w:val="auto"/>
        </w:rPr>
        <w:t>(1) Lease 274,986 sq. ft. and own 152,000 sq. ft.</w:t>
      </w:r>
    </w:p>
    <w:p>
      <w:pPr>
        <w:spacing w:after="0" w:line="16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owned Las Vegas facilities listed above are encumbered by mortgages securing indebtedness under our credit agreement and Secured Notes. In addition to those listed above, we own and lease a number of additional less significant properties in the U.S. and internationally that also support our operations.</w:t>
      </w:r>
    </w:p>
    <w:p>
      <w:pPr>
        <w:spacing w:after="0" w:line="1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For discussion of our legal proceedings, see Note 20, which is incorporated by reference into this </w:t>
      </w:r>
      <w:r>
        <w:rPr>
          <w:rFonts w:ascii="Arial" w:cs="Arial" w:eastAsia="Arial" w:hAnsi="Arial"/>
          <w:sz w:val="17"/>
          <w:szCs w:val="17"/>
          <w:i w:val="1"/>
          <w:iCs w:val="1"/>
          <w:color w:val="auto"/>
        </w:rPr>
        <w:t>Item 3</w:t>
      </w:r>
      <w:r>
        <w:rPr>
          <w:rFonts w:ascii="Arial" w:cs="Arial" w:eastAsia="Arial" w:hAnsi="Arial"/>
          <w:sz w:val="17"/>
          <w:szCs w:val="17"/>
          <w:color w:val="auto"/>
        </w:rPr>
        <w:t xml:space="preserv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our Common Stock</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outstanding common stock is listed for trading on the Nasdaq Global Select Market under the symbol “SGMS.”</w:t>
      </w:r>
    </w:p>
    <w:p>
      <w:pPr>
        <w:spacing w:after="0" w:line="158"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On February 24, 2022, the closing sale price for our common stock on the Nasdaq Global Select Market was $60.82 per share. There were 599 holders of record of our common stock as of February 24, 2022. This does not include the number of stockholders who hold shares of our common stock through banks, brokers or other financial institutions.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We have never paid any cash dividends on our common stock and do not presently intend to pay cash dividends on common stock in the foreseeable future. Further, under the terms of certain of our debt agreements, we are limited in our ability to pay cash dividends or make certain other restricted payments (other than stock dividends) on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Return Performance Graph</w:t>
      </w:r>
    </w:p>
    <w:p>
      <w:pPr>
        <w:spacing w:after="0" w:line="16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following graph compares the cumulative total stockholder return over the five-year period ended December 31, 2021 of our then outstanding common stock, the Nasdaq Composite Index and indices of our peer group companies that operate in industries or lines of business similar to ours.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peer group companies consist of Aristocrat (Australian Securities Exchange: ALL), IGT (New York Stock Exchange: IGT), Intralot, S.A.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(Athens Stock Exchange: IRLTY), Pollard Banknote Limited (Toronto Stock Exchange: PBL.UN-TO) and Everi Holdings Inc. (New York Stock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Exchange: EVRI).</w:t>
      </w:r>
    </w:p>
    <w:p>
      <w:pPr>
        <w:spacing w:after="0" w:line="143"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The companies in our peer group have been weighted based on their relative market capitalization each year. The graph assumes that $100 was invested in our then outstanding common stock, the Nasdaq Composite Index and the peer group indices at the beginning of the five-year period and that all dividends were reinvested. The comparisons are not intended to be indicative of future performance of our common stock.</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577850</wp:posOffset>
            </wp:positionV>
            <wp:extent cx="5863590" cy="4860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86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12/16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12/17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12/18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12/19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12/20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12/21</w:t>
            </w: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Scientific Games Corporation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477.36</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NASDAQ Composite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129.64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125.96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172.17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249.51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304.85</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251.90</w:t>
            </w:r>
          </w:p>
        </w:tc>
      </w:tr>
      <w:tr>
        <w:trPr>
          <w:trHeight w:val="850"/>
        </w:trPr>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53</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1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4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The following discussion is intended to enhance the reader’s understanding of our operations and current business environment and should be read in conjunction with the description of our business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of this Annual Report on Form 10-K) and our Consolidated Financial Statements and Notes (see </w:t>
      </w:r>
      <w:r>
        <w:rPr>
          <w:rFonts w:ascii="Arial" w:cs="Arial" w:eastAsia="Arial" w:hAnsi="Arial"/>
          <w:sz w:val="18"/>
          <w:szCs w:val="18"/>
          <w:i w:val="1"/>
          <w:iCs w:val="1"/>
          <w:color w:val="auto"/>
        </w:rPr>
        <w:t>Part IV, Item 15</w:t>
      </w:r>
      <w:r>
        <w:rPr>
          <w:rFonts w:ascii="Arial" w:cs="Arial" w:eastAsia="Arial" w:hAnsi="Arial"/>
          <w:sz w:val="18"/>
          <w:szCs w:val="18"/>
          <w:color w:val="auto"/>
        </w:rPr>
        <w:t xml:space="preserve"> of this Annual Report on Form 10-K).</w:t>
      </w:r>
    </w:p>
    <w:p>
      <w:pPr>
        <w:spacing w:after="0" w:line="11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 and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at the beginning and in </w:t>
      </w:r>
      <w:r>
        <w:rPr>
          <w:rFonts w:ascii="Arial" w:cs="Arial" w:eastAsia="Arial" w:hAnsi="Arial"/>
          <w:sz w:val="16"/>
          <w:szCs w:val="16"/>
          <w:i w:val="1"/>
          <w:iCs w:val="1"/>
          <w:color w:val="auto"/>
        </w:rPr>
        <w:t>Part I, Item 1A</w:t>
      </w:r>
      <w:r>
        <w:rPr>
          <w:rFonts w:ascii="Arial" w:cs="Arial" w:eastAsia="Arial" w:hAnsi="Arial"/>
          <w:sz w:val="16"/>
          <w:szCs w:val="16"/>
          <w:color w:val="auto"/>
        </w:rPr>
        <w:t>, respectively, of this Annual Report on Form 10-K. As used in this MD&amp;A, the terms “we,” “us,” “our” and the “Company” mean SGC together with its consolidated subsidiaries.</w:t>
      </w:r>
    </w:p>
    <w:p>
      <w:pPr>
        <w:spacing w:after="0" w:line="9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September 27, 2021, we entered into a definitive agreement to sell our Sports Betting business to Endeavor in a cash and stock transaction. On October 27, 2021, we entered into a definitive agreement to sell our Lottery business to Brookfield.</w:t>
      </w:r>
    </w:p>
    <w:p>
      <w:pPr>
        <w:spacing w:after="0" w:line="8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We have reflected the financial results of our Lottery and Sports Betting businesses as discontinued operations in our consolidated statements of operations and reflected the assets and liabilities of these businesses as held for sale in our consolidated balance sheets, for all periods presented. Accordingly, retrospective reclassifications have been made to prior period financial statements and disclosures to present the Lottery and Sports Betting businesses as discontinued operations. See Note 1 and Note 2 for additional information.</w:t>
      </w:r>
    </w:p>
    <w:p>
      <w:pPr>
        <w:spacing w:after="0" w:line="90" w:lineRule="exact"/>
        <w:rPr>
          <w:sz w:val="20"/>
          <w:szCs w:val="20"/>
          <w:color w:val="auto"/>
        </w:rPr>
      </w:pPr>
    </w:p>
    <w:p>
      <w:pPr>
        <w:ind w:firstLine="648"/>
        <w:spacing w:after="0"/>
        <w:rPr>
          <w:sz w:val="20"/>
          <w:szCs w:val="20"/>
          <w:color w:val="auto"/>
        </w:rPr>
      </w:pPr>
      <w:r>
        <w:rPr>
          <w:rFonts w:ascii="Arial" w:cs="Arial" w:eastAsia="Arial" w:hAnsi="Arial"/>
          <w:sz w:val="17"/>
          <w:szCs w:val="17"/>
          <w:color w:val="auto"/>
        </w:rPr>
        <w:t>We report our results of continuing operations in three business segments—Gaming, SciPlay and iGaming (former Digital business segment excluding Sports Betting)—representing the different products and services we expect to continue to provide post-divestitures. As a result of our strategic changes and Pending Divestitures, our Chief Operating Decision Maker re-assessed how he evaluates the operating results and performance of our Gaming business segment that resulted in an immaterial change to the Gaming business Segment AEBITDA calculation, which is our primary measure of the Gaming business segment performance measure of profit or loss. The Gaming business segment AEBITDA, has been recast for all periods presented herein to exclude EBITDA from equity investments to align with this new view. See Note 3 for additional information.</w:t>
      </w:r>
    </w:p>
    <w:p>
      <w:pPr>
        <w:spacing w:after="0" w:line="110" w:lineRule="exact"/>
        <w:rPr>
          <w:sz w:val="20"/>
          <w:szCs w:val="20"/>
          <w:color w:val="auto"/>
        </w:rPr>
      </w:pPr>
    </w:p>
    <w:p>
      <w:pPr>
        <w:ind w:right="720" w:firstLine="648"/>
        <w:spacing w:after="0" w:line="246" w:lineRule="auto"/>
        <w:rPr>
          <w:sz w:val="20"/>
          <w:szCs w:val="20"/>
          <w:color w:val="auto"/>
        </w:rPr>
      </w:pPr>
      <w:r>
        <w:rPr>
          <w:rFonts w:ascii="Arial" w:cs="Arial" w:eastAsia="Arial" w:hAnsi="Arial"/>
          <w:sz w:val="18"/>
          <w:szCs w:val="18"/>
          <w:color w:val="auto"/>
        </w:rPr>
        <w:t>Unless otherwise noted, amounts, percentages and discussion for all periods included below reflect the results of operations and financial condition from our continuing operations.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62" w:lineRule="exact"/>
        <w:rPr>
          <w:sz w:val="20"/>
          <w:szCs w:val="20"/>
          <w:color w:val="auto"/>
        </w:rPr>
      </w:pPr>
    </w:p>
    <w:p>
      <w:pPr>
        <w:ind w:right="60" w:firstLine="648"/>
        <w:spacing w:after="0" w:line="218" w:lineRule="exact"/>
        <w:rPr>
          <w:sz w:val="20"/>
          <w:szCs w:val="20"/>
          <w:color w:val="auto"/>
        </w:rPr>
      </w:pPr>
      <w:r>
        <w:rPr>
          <w:rFonts w:ascii="Arial" w:cs="Arial" w:eastAsia="Arial" w:hAnsi="Arial"/>
          <w:sz w:val="17"/>
          <w:szCs w:val="17"/>
          <w:color w:val="auto"/>
        </w:rPr>
        <w:t>We are a leading developer of technology</w:t>
      </w:r>
      <w:r>
        <w:rPr>
          <w:rFonts w:ascii="MS PGothic" w:cs="MS PGothic" w:eastAsia="MS PGothic" w:hAnsi="MS PGothic"/>
          <w:sz w:val="17"/>
          <w:szCs w:val="17"/>
          <w:color w:val="auto"/>
        </w:rPr>
        <w:t>‑</w:t>
      </w:r>
      <w:r>
        <w:rPr>
          <w:rFonts w:ascii="Arial" w:cs="Arial" w:eastAsia="Arial" w:hAnsi="Arial"/>
          <w:sz w:val="17"/>
          <w:szCs w:val="17"/>
          <w:color w:val="auto"/>
        </w:rPr>
        <w:t>based products and services and associated content for the worldwide gaming, lottery, social and digital gaming industries. Our portfolio of revenue-generating activities in our continuing operations primarily includes supplying game content and gaming machines, CMSs and table game products and services to licensed gaming entities; providing social casino and other mobile games to retail customers; and providing a comprehensive suite of digital RMG, distribution platforms, content, products and services to various gaming entities. Our portfolio of revenue-generating activities in the discontinued operations primarily includes providing instant and draw</w:t>
      </w:r>
      <w:r>
        <w:rPr>
          <w:rFonts w:ascii="MS PGothic" w:cs="MS PGothic" w:eastAsia="MS PGothic" w:hAnsi="MS PGothic"/>
          <w:sz w:val="17"/>
          <w:szCs w:val="17"/>
          <w:color w:val="auto"/>
        </w:rPr>
        <w:t>‑</w:t>
      </w:r>
      <w:r>
        <w:rPr>
          <w:rFonts w:ascii="Arial" w:cs="Arial" w:eastAsia="Arial" w:hAnsi="Arial"/>
          <w:sz w:val="17"/>
          <w:szCs w:val="17"/>
          <w:color w:val="auto"/>
        </w:rPr>
        <w:t>based lottery products, lottery systems and lottery content and services to lottery operators along with providing sports wagering solutions to various gaming entities. We also gain access to technologies and pursue global expansion through strategic acquisitions and equity investments.</w:t>
      </w:r>
    </w:p>
    <w:p>
      <w:pPr>
        <w:spacing w:after="0" w:line="13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We are incorporated in Nevada. For more information on our corporate history, please see the General introduction to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of this Annual Report on Form 10-K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including recent developments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Review Update</w:t>
      </w:r>
    </w:p>
    <w:p>
      <w:pPr>
        <w:spacing w:after="0" w:line="15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June 29, 2021, we announced that the Company (1) with the support of its Board of Directors, completed its strategic review, which reaffirmed our strategy to become a content-led growth company with a focus on content and digital markets; and (2) intended to divest the Lottery and Sports Betting businesses creating the path to significantly de-lever and position the Company for enhanced growth. In September and October of 2021, we signed definitive agreements to divest these businesses. The divestiture of the Lottery business is now expected to close by the end of March 2022 while the sale of the Sports Betting business is on track to be completed in the second quarter of 2022, both subject to applicable regulatory approvals and customary conditions. These businesses held for sale are included in our covenant compliance requirements until disposed of and all of their related cash flows are available to the Company without restriction.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ind w:right="180" w:firstLine="648"/>
        <w:spacing w:after="0" w:line="259" w:lineRule="auto"/>
        <w:rPr>
          <w:sz w:val="20"/>
          <w:szCs w:val="20"/>
          <w:color w:val="auto"/>
        </w:rPr>
      </w:pPr>
      <w:r>
        <w:rPr>
          <w:rFonts w:ascii="Arial" w:cs="Arial" w:eastAsia="Arial" w:hAnsi="Arial"/>
          <w:sz w:val="18"/>
          <w:szCs w:val="18"/>
          <w:color w:val="auto"/>
        </w:rPr>
        <w:t>On July 15, 2021, we submitted a proposal to SciPlay’s board of directors to acquire all the outstanding equity interests in SciPlay not already owned by us (approximately 19%). Under our proposal, all SciPlay shareholders (other than SGC and our subsidiaries) would have received 0.250 shares of our common stock for each share of SciPlay Class A common stock they own. On December 22, 2021, we withdrew our July 15, 2021 offer. As of December 31, 2021, we continue to own 81% economic interest and 98% voting interest in SciPlay.</w:t>
      </w:r>
    </w:p>
    <w:p>
      <w:pPr>
        <w:spacing w:after="0" w:line="11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On March 1, 2022, we announced our intention to formally change our name to Light &amp; Wonder, Inc. and that we would immediately begin doing business as Light &amp; Wonder, Inc. The legal name Scientific Games Corporation is expected to be legally changed to Light &amp; Wonder, Inc. during the second quarter of 2022, upon satisfying all applicable legal requirements in the state of Nevada, where the Company is incorporated.</w:t>
      </w:r>
    </w:p>
    <w:p>
      <w:pPr>
        <w:spacing w:after="0" w:line="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connection therewith, the ticker symbol for the Company’s common stock will be changed from SGMS to LNW, at the time of the legal name change. The Company’s common stock will continue to be listed on The NASDAQ Stock Market.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of COVID-19 on Business Operations, Financial Results and Liquidity</w:t>
      </w:r>
    </w:p>
    <w:p>
      <w:pPr>
        <w:spacing w:after="0" w:line="15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also described in the “Description of the Business and Summary of Significant Accounting Policies - Impact of COVID-19” in Note 1, COVID-19 disruptions continue to impact our results of operations and particularly certain aspects of our Gaming business segment operations due to the widespread closures of gaming operation establishments and restricted reopening of a substantial number of gaming operation establishments coupled with global economic uncertainty. While most gaming establishments have reopened globally and have begun to operate at full capacity, there is a continued risk of future COVID-related developments including new virus variants, such as the Delta or Omicron variants, that might impact Gaming business segment results. During the second half of 2021, we noted that the U.S. and U.K. markets have rebounded which has had a notable impact on our Gaming operations primarily due to the lifting of restrictions and further elevated by consumer pent up demand from prior periods resulting in higher gross gaming revenues. Our 2021 Gaming operations revenue also benefited from the FOBT recovery as described in the Consolidated Results section below.</w:t>
      </w:r>
    </w:p>
    <w:p>
      <w:pPr>
        <w:spacing w:after="0" w:line="8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continue to see fluctuations in infection rates and regulations for various regions along with ongoing domestic and international travel restrictions or warnings, social distancing measures, reduced operating capacity and an overall economic and general uncertainty regarding the magnitude and length of time that these disruptions will continue. These circumstances may change in the future and such changes could be material. We continue to assess the situation jurisdiction by jurisdiction, actively managing our cash flows and continuing to evaluate additional measures that may reduce operating costs and conserve cash to preserve liquidity as we execute on our strategic initiatives. For more information on the effects that COVID-19 has had on each of our business segments, refer to the individual business segment sections below.</w:t>
      </w:r>
    </w:p>
    <w:p>
      <w:pPr>
        <w:spacing w:after="0" w:line="110"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Our only financial maintenance covenant (excluding SciPlay’s Revolver) is contained in SGI’s credit agreement. As of December 31, 2021, our total available liquidity (excluding our SciPlay business segment, but including cash and cash equivalents totaling $44 million of the businesses held for sale as those are still available for our general use until a divestiture occurs) was $903 million, which included $638 million of undrawn availability under SGI’s revolving credit facility. During 2021, we made voluntary payments on SGI’s revolving credit facility totaling $595 million, leaving the entire revolving credit facility undrawn and available as of December 31, 2021. See Note 15 for additional details regarding SGI’s credit agreement.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44"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During 2021, we acquired several businesses to expand the portfolio and content for each of our three continuing business segments and businesses held for sale, as noted below (see Note 10 for additional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 Related to Continuing Operations</w:t>
      </w:r>
    </w:p>
    <w:p>
      <w:pPr>
        <w:spacing w:after="0" w:line="15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July of 2021, SciPlay acquired privately-held Koukoi.</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August of 2021, we acquired privately-held Lightning Box, which has been included in our iGaming business segment.</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October of 2021, we acquired ACS’s table game solution PlayOn™, subsequently renamed to AToM™, which has been included in our Gaming business segment.</w:t>
      </w:r>
    </w:p>
    <w:p>
      <w:pPr>
        <w:spacing w:after="0" w:line="10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November of 2021, we acquired Authentic Gaming, a premium provider of live casino solutions, which has been included in our iGaming business segment.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December of 2021, we acquired ELK Studios, a leading European games developer, which has been included in our iGaming business segment.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ind w:right="660" w:firstLine="332"/>
        <w:spacing w:after="0" w:line="414" w:lineRule="auto"/>
        <w:tabs>
          <w:tab w:leader="none" w:pos="6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 March of 2022, SciPlay acquired privately held Alictus Yazilim Anonim Şirketi (“Alictus”), a Turkey-based hyper-casual game studio. </w:t>
      </w:r>
      <w:r>
        <w:rPr>
          <w:rFonts w:ascii="Arial" w:cs="Arial" w:eastAsia="Arial" w:hAnsi="Arial"/>
          <w:sz w:val="18"/>
          <w:szCs w:val="18"/>
          <w:u w:val="single" w:color="auto"/>
          <w:color w:val="auto"/>
        </w:rPr>
        <w:t>Acquisitions Related to Discontinued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May of 2021, we acquired SportCast, which has been included in the Sports Betting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September of 2021, we acquired Sideplay, which has been included in the Lottery business.</w:t>
      </w:r>
    </w:p>
    <w:p>
      <w:pPr>
        <w:spacing w:after="0" w:line="14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February 25, 2022, our Board of Directors approved a share repurchase program under which the Company is authorized to repurchase, from time to time through February 25, 2025, up to an aggregate amount of $750 million of our outstanding common stock over a three-year period. Repurchases may be made at the discretion of the Transaction Committee of the Board of Directors through one or more open market transactions, privately negotiated transactions, accelerated share repurchases, issuer tender offers or other derivative contracts or instruments, or a combination of the foregoing.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16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a number of trends and uncertainties that have impacted and may continue to impact our business and results of operations. Such impacts have in some cases been material and could be material in the future should they continue.</w:t>
      </w:r>
    </w:p>
    <w:p>
      <w:pPr>
        <w:spacing w:after="0" w:line="8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i w:val="1"/>
          <w:iCs w:val="1"/>
          <w:color w:val="auto"/>
        </w:rPr>
        <w:t xml:space="preserve">Our ability to execute on our new strategic initiatives. </w:t>
      </w:r>
      <w:r>
        <w:rPr>
          <w:rFonts w:ascii="Arial" w:cs="Arial" w:eastAsia="Arial" w:hAnsi="Arial"/>
          <w:sz w:val="16"/>
          <w:szCs w:val="16"/>
          <w:color w:val="auto"/>
        </w:rPr>
        <w:t>The Company recently completed a comprehensive strategic review and is in the process of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executing on the new strategy in becoming the leading, cross-platform global game company (more fully described in in Part I, Item 1 above). Successful execution on our strategy might present unexpected challenges and uncertainties, including actions that will result in increased restructuring charges as we incur integration and optimization expenses to execute and facilitate our strategies including costs necessary to complete the Pending Divestitures.</w:t>
      </w:r>
    </w:p>
    <w:p>
      <w:pPr>
        <w:spacing w:after="0" w:line="90" w:lineRule="exact"/>
        <w:rPr>
          <w:sz w:val="20"/>
          <w:szCs w:val="20"/>
          <w:color w:val="auto"/>
        </w:rPr>
      </w:pPr>
    </w:p>
    <w:p>
      <w:pPr>
        <w:ind w:right="320" w:firstLine="648"/>
        <w:spacing w:after="0" w:line="248" w:lineRule="auto"/>
        <w:rPr>
          <w:sz w:val="20"/>
          <w:szCs w:val="20"/>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See above</w:t>
      </w:r>
      <w:r>
        <w:rPr>
          <w:rFonts w:ascii="Arial" w:cs="Arial" w:eastAsia="Arial" w:hAnsi="Arial"/>
          <w:sz w:val="18"/>
          <w:szCs w:val="18"/>
          <w:i w:val="1"/>
          <w:iCs w:val="1"/>
          <w:color w:val="auto"/>
        </w:rPr>
        <w:t xml:space="preserve"> “Business Overview – Highlights, including recent developments – Impacts of COVID-19 on Business Operations, Financial Results and Liquidity” </w:t>
      </w:r>
      <w:r>
        <w:rPr>
          <w:rFonts w:ascii="Arial" w:cs="Arial" w:eastAsia="Arial" w:hAnsi="Arial"/>
          <w:sz w:val="18"/>
          <w:szCs w:val="18"/>
          <w:color w:val="auto"/>
        </w:rPr>
        <w:t>for uncertainties regarding the pandemic that significantly impacted our business and result of operations during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to a lesser extent, continue to impact our business and results of operations during 2021.</w:t>
      </w:r>
    </w:p>
    <w:p>
      <w:pPr>
        <w:spacing w:after="0" w:line="11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Our high amount of leverage. </w:t>
      </w:r>
      <w:r>
        <w:rPr>
          <w:rFonts w:ascii="Arial" w:cs="Arial" w:eastAsia="Arial" w:hAnsi="Arial"/>
          <w:sz w:val="18"/>
          <w:szCs w:val="18"/>
          <w:color w:val="auto"/>
        </w:rPr>
        <w:t>We are currently a highly leveraged company which presents several challenges, including the dedication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portion of our cash flow from operations to service interest and principal payments on our indebtedness.</w:t>
      </w:r>
    </w:p>
    <w:p>
      <w:pPr>
        <w:spacing w:after="0" w:line="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International operations and foreign currency. </w:t>
      </w:r>
      <w:r>
        <w:rPr>
          <w:rFonts w:ascii="Arial" w:cs="Arial" w:eastAsia="Arial" w:hAnsi="Arial"/>
          <w:sz w:val="18"/>
          <w:szCs w:val="18"/>
          <w:color w:val="auto"/>
        </w:rPr>
        <w:t>We face challenges related to expanding our footprint within international markets and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of obtaining regulatory approvals to provide services and products within these new and emerging markets. Our LATAM customers operate in a difficult macroeconomic environment that (combined with political instability in the region and further compounded by COVID-19) has historically resulted in (a) a material reduction in revenue, (b) a reduction in the cash we have collected from these customers on previous sales and (c) charges for estimated credit losses, primarily during 2020.</w:t>
      </w:r>
    </w:p>
    <w:p>
      <w:pPr>
        <w:spacing w:after="0" w:line="120"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Additionally, our international operations provide a significant portion of our total revenue and expenses. Many of these revenue and expenses are denominated in currencies other than the U.S. Dollar. We also have foreign currency exposure related to certain of our equity investments, cross-currency interest rate swaps, and Euro-denominated debt. As a result, changes in foreign exchange rates may significantly affect our results of operations.</w:t>
      </w:r>
    </w:p>
    <w:p>
      <w:pPr>
        <w:spacing w:after="0" w:line="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A high level of competition, with competitor expansion. </w:t>
      </w:r>
      <w:r>
        <w:rPr>
          <w:rFonts w:ascii="Arial" w:cs="Arial" w:eastAsia="Arial" w:hAnsi="Arial"/>
          <w:sz w:val="18"/>
          <w:szCs w:val="18"/>
          <w:color w:val="auto"/>
        </w:rPr>
        <w:t>Our major competitors are expanding their product and service offerings with integrated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products and solutions that compete directly with ours. For example, competition in our Gaming business segment is highly competitive and is characterized by the continuous introduction of new games, gaming machines and related technologies. Our iGaming business segment is facing challenges related to expanding our market share within new and emerging markets, while our SciPlay business segment continues to be highly competitive with low barriers to entry, rapid evolution, fragmented market and subject to changing technology, shifting needs and frequent introductions of new games, development platforms and services.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of this Annual Report on Form 10-K and </w:t>
      </w:r>
      <w:r>
        <w:rPr>
          <w:rFonts w:ascii="Arial" w:cs="Arial" w:eastAsia="Arial" w:hAnsi="Arial"/>
          <w:sz w:val="18"/>
          <w:szCs w:val="18"/>
          <w:i w:val="1"/>
          <w:iCs w:val="1"/>
          <w:color w:val="auto"/>
        </w:rPr>
        <w:t>Business Segment Results</w:t>
      </w:r>
      <w:r>
        <w:rPr>
          <w:rFonts w:ascii="Arial" w:cs="Arial" w:eastAsia="Arial" w:hAnsi="Arial"/>
          <w:sz w:val="18"/>
          <w:szCs w:val="18"/>
          <w:color w:val="auto"/>
        </w:rPr>
        <w:t xml:space="preserve"> below describing competition and factors impacting each of our business segments.</w:t>
      </w:r>
    </w:p>
    <w:p>
      <w:pPr>
        <w:spacing w:after="0" w:line="11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results of operations fluctuate due to seasonal trends and other factors impacting all of our business segments, particularly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Gaming and SciPlay businesses. See </w:t>
      </w:r>
      <w:r>
        <w:rPr>
          <w:rFonts w:ascii="Arial" w:cs="Arial" w:eastAsia="Arial" w:hAnsi="Arial"/>
          <w:sz w:val="18"/>
          <w:szCs w:val="18"/>
          <w:i w:val="1"/>
          <w:iCs w:val="1"/>
          <w:color w:val="auto"/>
        </w:rPr>
        <w:t>Part I, Item 1 - Seasonality</w:t>
      </w:r>
      <w:r>
        <w:rPr>
          <w:rFonts w:ascii="Arial" w:cs="Arial" w:eastAsia="Arial" w:hAnsi="Arial"/>
          <w:sz w:val="18"/>
          <w:szCs w:val="18"/>
          <w:color w:val="auto"/>
        </w:rPr>
        <w:t xml:space="preserve"> of this Annual Report on Form 10-K.</w:t>
      </w:r>
    </w:p>
    <w:p>
      <w:pPr>
        <w:spacing w:after="0" w:line="10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For additional trends and uncertainties impacting our business segments, refer below to </w:t>
      </w:r>
      <w:r>
        <w:rPr>
          <w:rFonts w:ascii="Arial" w:cs="Arial" w:eastAsia="Arial" w:hAnsi="Arial"/>
          <w:sz w:val="18"/>
          <w:szCs w:val="18"/>
          <w:i w:val="1"/>
          <w:iCs w:val="1"/>
          <w:color w:val="auto"/>
        </w:rPr>
        <w:t>Business Segment Results</w:t>
      </w:r>
      <w:r>
        <w:rPr>
          <w:rFonts w:ascii="Arial" w:cs="Arial" w:eastAsia="Arial" w:hAnsi="Arial"/>
          <w:sz w:val="18"/>
          <w:szCs w:val="18"/>
          <w:color w:val="auto"/>
        </w:rPr>
        <w:t xml:space="preserve">, specifically the </w:t>
      </w:r>
      <w:r>
        <w:rPr>
          <w:rFonts w:ascii="Arial" w:cs="Arial" w:eastAsia="Arial" w:hAnsi="Arial"/>
          <w:sz w:val="18"/>
          <w:szCs w:val="18"/>
          <w:i w:val="1"/>
          <w:iCs w:val="1"/>
          <w:color w:val="auto"/>
        </w:rPr>
        <w:t>Current Year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Update </w:t>
      </w:r>
      <w:r>
        <w:rPr>
          <w:rFonts w:ascii="Arial" w:cs="Arial" w:eastAsia="Arial" w:hAnsi="Arial"/>
          <w:sz w:val="18"/>
          <w:szCs w:val="18"/>
          <w:color w:val="auto"/>
        </w:rPr>
        <w:t>section for each business segment.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56" w:name="page57"/>
    <w:bookmarkEnd w:id="56"/>
    <w:p>
      <w:pPr>
        <w:ind w:right="320" w:firstLine="648"/>
        <w:spacing w:after="0" w:line="282" w:lineRule="auto"/>
        <w:rPr>
          <w:sz w:val="20"/>
          <w:szCs w:val="20"/>
          <w:color w:val="auto"/>
        </w:rPr>
      </w:pPr>
      <w:r>
        <w:rPr>
          <w:rFonts w:ascii="Arial" w:cs="Arial" w:eastAsia="Arial" w:hAnsi="Arial"/>
          <w:sz w:val="18"/>
          <w:szCs w:val="18"/>
          <w:color w:val="auto"/>
        </w:rPr>
        <w:t xml:space="preserve">We report our operations in three business segments </w:t>
      </w:r>
      <w:r>
        <w:rPr>
          <w:rFonts w:ascii="Arial" w:cs="Arial" w:eastAsia="Arial" w:hAnsi="Arial"/>
          <w:sz w:val="18"/>
          <w:szCs w:val="18"/>
          <w:b w:val="1"/>
          <w:bCs w:val="1"/>
          <w:color w:val="auto"/>
        </w:rPr>
        <w:t>—</w:t>
      </w:r>
      <w:r>
        <w:rPr>
          <w:rFonts w:ascii="Arial" w:cs="Arial" w:eastAsia="Arial" w:hAnsi="Arial"/>
          <w:sz w:val="18"/>
          <w:szCs w:val="18"/>
          <w:color w:val="auto"/>
        </w:rPr>
        <w:t xml:space="preserve"> Gaming, SciPlay and iGaming </w:t>
      </w:r>
      <w:r>
        <w:rPr>
          <w:rFonts w:ascii="Arial" w:cs="Arial" w:eastAsia="Arial" w:hAnsi="Arial"/>
          <w:sz w:val="18"/>
          <w:szCs w:val="18"/>
          <w:b w:val="1"/>
          <w:bCs w:val="1"/>
          <w:color w:val="auto"/>
        </w:rPr>
        <w:t>—</w:t>
      </w:r>
      <w:r>
        <w:rPr>
          <w:rFonts w:ascii="Arial" w:cs="Arial" w:eastAsia="Arial" w:hAnsi="Arial"/>
          <w:sz w:val="18"/>
          <w:szCs w:val="18"/>
          <w:color w:val="auto"/>
        </w:rPr>
        <w:t xml:space="preserve"> representing our different products and services. See Notes 3 and 4 for additional business segments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6"/>
                <w:szCs w:val="16"/>
                <w:color w:val="auto"/>
              </w:rPr>
            </w:pPr>
          </w:p>
        </w:tc>
        <w:tc>
          <w:tcPr>
            <w:tcW w:w="2960" w:type="dxa"/>
            <w:vAlign w:val="bottom"/>
            <w:gridSpan w:val="8"/>
          </w:tcPr>
          <w:p>
            <w:pPr>
              <w:ind w:left="42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Variance</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8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w w:val="89"/>
              </w:rPr>
              <w:t>2021 vs. 2020</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w w:val="87"/>
              </w:rPr>
              <w:t>2020 vs. 2019</w:t>
            </w:r>
          </w:p>
        </w:tc>
        <w:tc>
          <w:tcPr>
            <w:tcW w:w="600" w:type="dxa"/>
            <w:vAlign w:val="bottom"/>
            <w:tcBorders>
              <w:bottom w:val="single" w:sz="8" w:color="auto"/>
            </w:tcBorders>
          </w:tcPr>
          <w:p>
            <w:pPr>
              <w:spacing w:after="0"/>
              <w:rPr>
                <w:sz w:val="17"/>
                <w:szCs w:val="17"/>
                <w:color w:val="auto"/>
              </w:rPr>
            </w:pPr>
          </w:p>
        </w:tc>
      </w:tr>
      <w:tr>
        <w:trPr>
          <w:trHeight w:val="226"/>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2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6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6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(184)%</w:t>
            </w:r>
          </w:p>
        </w:tc>
      </w:tr>
      <w:tr>
        <w:trPr>
          <w:trHeight w:val="176"/>
        </w:trPr>
        <w:tc>
          <w:tcPr>
            <w:tcW w:w="20" w:type="dxa"/>
            <w:vAlign w:val="bottom"/>
          </w:tcPr>
          <w:p>
            <w:pPr>
              <w:spacing w:after="0"/>
              <w:rPr>
                <w:sz w:val="15"/>
                <w:szCs w:val="15"/>
                <w:color w:val="auto"/>
              </w:rPr>
            </w:pPr>
          </w:p>
        </w:tc>
        <w:tc>
          <w:tcPr>
            <w:tcW w:w="3680" w:type="dxa"/>
            <w:vAlign w:val="bottom"/>
            <w:gridSpan w:val="2"/>
          </w:tcPr>
          <w:p>
            <w:pPr>
              <w:spacing w:after="0" w:line="176" w:lineRule="exact"/>
              <w:rPr>
                <w:sz w:val="20"/>
                <w:szCs w:val="20"/>
                <w:color w:val="auto"/>
              </w:rPr>
            </w:pPr>
            <w:r>
              <w:rPr>
                <w:rFonts w:ascii="Arial" w:cs="Arial" w:eastAsia="Arial" w:hAnsi="Arial"/>
                <w:sz w:val="18"/>
                <w:szCs w:val="18"/>
                <w:color w:val="auto"/>
              </w:rPr>
              <w:t>Net loss from continuing operations before</w:t>
            </w: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(804)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(377)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510</w:t>
            </w:r>
          </w:p>
        </w:tc>
        <w:tc>
          <w:tcPr>
            <w:tcW w:w="6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63 %</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(427)</w:t>
            </w:r>
          </w:p>
        </w:tc>
        <w:tc>
          <w:tcPr>
            <w:tcW w:w="60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w w:val="96"/>
              </w:rPr>
              <w:t>(113)%</w:t>
            </w: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(143)%</w:t>
            </w:r>
          </w:p>
        </w:tc>
      </w:tr>
      <w:tr>
        <w:trPr>
          <w:trHeight w:val="175"/>
        </w:trPr>
        <w:tc>
          <w:tcPr>
            <w:tcW w:w="20" w:type="dxa"/>
            <w:vAlign w:val="bottom"/>
          </w:tcPr>
          <w:p>
            <w:pPr>
              <w:spacing w:after="0"/>
              <w:rPr>
                <w:sz w:val="15"/>
                <w:szCs w:val="15"/>
                <w:color w:val="auto"/>
              </w:rPr>
            </w:pPr>
          </w:p>
        </w:tc>
        <w:tc>
          <w:tcPr>
            <w:tcW w:w="3680" w:type="dxa"/>
            <w:vAlign w:val="bottom"/>
            <w:gridSpan w:val="2"/>
          </w:tcPr>
          <w:p>
            <w:pPr>
              <w:spacing w:after="0" w:line="176" w:lineRule="exact"/>
              <w:rPr>
                <w:sz w:val="20"/>
                <w:szCs w:val="20"/>
                <w:color w:val="auto"/>
              </w:rPr>
            </w:pPr>
            <w:r>
              <w:rPr>
                <w:rFonts w:ascii="Arial" w:cs="Arial" w:eastAsia="Arial" w:hAnsi="Arial"/>
                <w:sz w:val="18"/>
                <w:szCs w:val="18"/>
                <w:color w:val="auto"/>
                <w:w w:val="95"/>
              </w:rPr>
              <w:t>Net income from discontinued operations, net of</w:t>
            </w: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366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212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113</w:t>
            </w:r>
          </w:p>
        </w:tc>
        <w:tc>
          <w:tcPr>
            <w:tcW w:w="6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45 %</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c>
          <w:tcPr>
            <w:tcW w:w="60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19 %</w:t>
            </w: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tax</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SGC</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(338)%</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100330</wp:posOffset>
            </wp:positionV>
            <wp:extent cx="6017895" cy="31546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1789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58"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 xml:space="preserve">As described in the </w:t>
      </w:r>
      <w:r>
        <w:rPr>
          <w:rFonts w:ascii="Arial" w:cs="Arial" w:eastAsia="Arial" w:hAnsi="Arial"/>
          <w:sz w:val="16"/>
          <w:szCs w:val="16"/>
          <w:i w:val="1"/>
          <w:iCs w:val="1"/>
          <w:color w:val="auto"/>
        </w:rPr>
        <w:t>“Business Overview – Highlights, including recent developments – Impacts of COVID-19 on Business Operations,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Results and Liquidity” </w:t>
      </w:r>
      <w:r>
        <w:rPr>
          <w:rFonts w:ascii="Arial" w:cs="Arial" w:eastAsia="Arial" w:hAnsi="Arial"/>
          <w:sz w:val="16"/>
          <w:szCs w:val="16"/>
          <w:color w:val="auto"/>
        </w:rPr>
        <w:t>section above, our total revenue, and primarily revenues for the Gaming business segment, was significantly impacted in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Although these business disruptions continued to adversely impact certain aspects of our Gaming revenue in the first half of 2021, the re-opening of venues, lifting of restrictions, increased travel, and distribution of vaccines along with pent up consumer demand have caused the Gaming business segment to see more activity and thereby have helped drive 2021 revenue. Particularly, our Gaming operations revenue demonstrated strong growth driven by strong performance and increased market share. Machine and table product revenue continue to be impacted by reduced capital expenditures of casino operators coupled with ongoing COVID-19 restrictions impacting casino operating capacity. Additionally, Gaming operations revenue benefited from $44 million U.K. FOBT recovery received from certain U.K. customers related to a 2020 U.K. court ruling associated with overcharging of value-added tax for gaming operators that consequently reduced our net gaming revenues in those affected prior periods related to these customers and arrangements.</w:t>
      </w:r>
    </w:p>
    <w:p>
      <w:pPr>
        <w:spacing w:after="0" w:line="88"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SciPlay revenue increased by $24 million or 4% primarily due to elevated player engagement from continued COVID-19 prevention measures during the first half of 2021 in addition to the introduction of new content and features resulting in increased paying player interaction.</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57" w:name="page58"/>
    <w:bookmarkEnd w:id="57"/>
    <w:p>
      <w:pPr>
        <w:jc w:val="both"/>
        <w:ind w:right="40" w:firstLine="648"/>
        <w:spacing w:after="0" w:line="277" w:lineRule="auto"/>
        <w:rPr>
          <w:sz w:val="20"/>
          <w:szCs w:val="20"/>
          <w:color w:val="auto"/>
        </w:rPr>
      </w:pPr>
      <w:r>
        <w:rPr>
          <w:rFonts w:ascii="Arial" w:cs="Arial" w:eastAsia="Arial" w:hAnsi="Arial"/>
          <w:sz w:val="18"/>
          <w:szCs w:val="18"/>
          <w:color w:val="auto"/>
        </w:rPr>
        <w:t>iGaming revenue increased by $35 million or 18% primarily due to continuing growth in the U.S. market as iGaming is live in six U.S. states with a 25% market share.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2021 consolidated revenues were impacted by $28 million of favorable F/X impact compared to $4 million of favorable impact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9"/>
                <w:szCs w:val="19"/>
                <w:color w:val="auto"/>
              </w:rPr>
            </w:pPr>
          </w:p>
        </w:tc>
        <w:tc>
          <w:tcPr>
            <w:tcW w:w="1560" w:type="dxa"/>
            <w:vAlign w:val="bottom"/>
            <w:gridSpan w:val="2"/>
          </w:tcPr>
          <w:p>
            <w:pPr>
              <w:ind w:left="560"/>
              <w:spacing w:after="0"/>
              <w:rPr>
                <w:sz w:val="20"/>
                <w:szCs w:val="20"/>
                <w:color w:val="auto"/>
              </w:rPr>
            </w:pPr>
            <w:r>
              <w:rPr>
                <w:rFonts w:ascii="Arial" w:cs="Arial" w:eastAsia="Arial" w:hAnsi="Arial"/>
                <w:sz w:val="16"/>
                <w:szCs w:val="16"/>
                <w:b w:val="1"/>
                <w:bCs w:val="1"/>
                <w:color w:val="auto"/>
              </w:rPr>
              <w:t>Variance</w:t>
            </w:r>
          </w:p>
        </w:tc>
        <w:tc>
          <w:tcPr>
            <w:tcW w:w="72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56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millions)</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9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91"/>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ind w:left="420"/>
              <w:spacing w:after="0" w:line="175" w:lineRule="exact"/>
              <w:rPr>
                <w:sz w:val="20"/>
                <w:szCs w:val="20"/>
                <w:color w:val="auto"/>
              </w:rPr>
            </w:pPr>
            <w:r>
              <w:rPr>
                <w:rFonts w:ascii="Arial" w:cs="Arial" w:eastAsia="Arial" w:hAnsi="Arial"/>
                <w:sz w:val="16"/>
                <w:szCs w:val="16"/>
                <w:b w:val="1"/>
                <w:bCs w:val="1"/>
                <w:color w:val="auto"/>
              </w:rPr>
              <w:t>2021 vs. 2020</w:t>
            </w:r>
          </w:p>
        </w:tc>
        <w:tc>
          <w:tcPr>
            <w:tcW w:w="720" w:type="dxa"/>
            <w:vAlign w:val="bottom"/>
            <w:tcBorders>
              <w:top w:val="single" w:sz="8" w:color="auto"/>
            </w:tcBorders>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5640" w:type="dxa"/>
            <w:vAlign w:val="bottom"/>
            <w:gridSpan w:val="2"/>
          </w:tcPr>
          <w:p>
            <w:pPr>
              <w:ind w:left="100"/>
              <w:spacing w:after="0" w:line="243" w:lineRule="exact"/>
              <w:rPr>
                <w:sz w:val="20"/>
                <w:szCs w:val="20"/>
                <w:color w:val="auto"/>
              </w:rPr>
            </w:pPr>
            <w:r>
              <w:rPr>
                <w:rFonts w:ascii="Arial" w:cs="Arial" w:eastAsia="Arial" w:hAnsi="Arial"/>
                <w:sz w:val="18"/>
                <w:szCs w:val="18"/>
                <w:color w:val="auto"/>
              </w:rPr>
              <w:t>Cost of services</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8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20" w:type="dxa"/>
            <w:vAlign w:val="bottom"/>
            <w:shd w:val="clear" w:color="auto" w:fill="CCEEFF"/>
          </w:tcPr>
          <w:p>
            <w:pPr>
              <w:spacing w:after="0"/>
              <w:rPr>
                <w:sz w:val="21"/>
                <w:szCs w:val="21"/>
                <w:color w:val="auto"/>
              </w:rPr>
            </w:pPr>
          </w:p>
        </w:tc>
        <w:tc>
          <w:tcPr>
            <w:tcW w:w="5640" w:type="dxa"/>
            <w:vAlign w:val="bottom"/>
            <w:gridSpan w:val="2"/>
            <w:shd w:val="clear" w:color="auto" w:fill="CCEEFF"/>
          </w:tcPr>
          <w:p>
            <w:pPr>
              <w:ind w:left="100"/>
              <w:spacing w:after="0" w:line="243" w:lineRule="exact"/>
              <w:rPr>
                <w:sz w:val="20"/>
                <w:szCs w:val="20"/>
                <w:color w:val="auto"/>
              </w:rPr>
            </w:pPr>
            <w:r>
              <w:rPr>
                <w:rFonts w:ascii="Arial" w:cs="Arial" w:eastAsia="Arial" w:hAnsi="Arial"/>
                <w:sz w:val="18"/>
                <w:szCs w:val="18"/>
                <w:color w:val="auto"/>
              </w:rPr>
              <w:t>Cost of product sales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(28)</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5640" w:type="dxa"/>
            <w:vAlign w:val="bottom"/>
            <w:gridSpan w:val="2"/>
          </w:tcPr>
          <w:p>
            <w:pPr>
              <w:ind w:left="120"/>
              <w:spacing w:after="0"/>
              <w:rPr>
                <w:sz w:val="20"/>
                <w:szCs w:val="20"/>
                <w:color w:val="auto"/>
              </w:rPr>
            </w:pPr>
            <w:r>
              <w:rPr>
                <w:rFonts w:ascii="Arial" w:cs="Arial" w:eastAsia="Arial" w:hAnsi="Arial"/>
                <w:sz w:val="18"/>
                <w:szCs w:val="18"/>
                <w:color w:val="auto"/>
              </w:rPr>
              <w:t>SG&amp;A</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R&amp;D</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20" w:type="dxa"/>
            <w:vAlign w:val="bottom"/>
          </w:tcPr>
          <w:p>
            <w:pPr>
              <w:spacing w:after="0"/>
              <w:rPr>
                <w:sz w:val="19"/>
                <w:szCs w:val="19"/>
                <w:color w:val="auto"/>
              </w:rPr>
            </w:pPr>
          </w:p>
        </w:tc>
        <w:tc>
          <w:tcPr>
            <w:tcW w:w="5640" w:type="dxa"/>
            <w:vAlign w:val="bottom"/>
            <w:gridSpan w:val="2"/>
          </w:tcPr>
          <w:p>
            <w:pPr>
              <w:ind w:left="120"/>
              <w:spacing w:after="0"/>
              <w:rPr>
                <w:sz w:val="20"/>
                <w:szCs w:val="20"/>
                <w:color w:val="auto"/>
              </w:rPr>
            </w:pPr>
            <w:r>
              <w:rPr>
                <w:rFonts w:ascii="Arial" w:cs="Arial" w:eastAsia="Arial" w:hAnsi="Arial"/>
                <w:sz w:val="18"/>
                <w:szCs w:val="18"/>
                <w:color w:val="auto"/>
              </w:rPr>
              <w:t>D&amp;A</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w w:val="93"/>
              </w:rPr>
              <w:t>(51)</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 impairment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(54)</w:t>
            </w:r>
          </w:p>
        </w:tc>
        <w:tc>
          <w:tcPr>
            <w:tcW w:w="8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Restructuring and 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198 %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nm = not meaningful.</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Excludes D&amp;A.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4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Cost of revenue for the year ended December 31, 2021 remained relatively flat as a result of higher revenue due to the global economy beginning to recover as the easing of COVID-19 restrictions continues, which was offset by the prior year period including approximately $48 million in Gaming cost of product inventory valuation charges for excess and obsolete inventory.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SG&amp;A increased primarily due to higher salaries, wages and other compensation of $39 million as a result of the prior year experiencing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temporary austerity measures implemented to reduce costs during the COVID-19 disruptions, along with higher stock-based compensation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$57 million driven by the acceleration of the expense as a result of attainment of certain targets for some of our directors coupled with the new equity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awards issued at a higher fair value given the increase in our stock price compared to the prior period, and overall higher bonus incentive reflective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meeting and exceeding current year targets, of which portion will be paid in equity. This increase was partially offset by the prior period inclusion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$54 million allowance for credit loss charges reflecting the credit deterioration and credit weakness in our Gaming segment’s Latin America receivables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primarily due to the COVID-19 disruptions.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R&amp;D</w:t>
      </w:r>
    </w:p>
    <w:p>
      <w:pPr>
        <w:spacing w:after="0" w:line="158"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R&amp;D increased primarily due to higher salaries and benefits reflective of our increased investment in development and growth coupled with the prior period reflecting lower operating costs as a result of the company-wide austerity measures implemented to reduce costs during the COVID-19 disruptions.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D&amp;A</w:t>
      </w:r>
    </w:p>
    <w:p>
      <w:pPr>
        <w:spacing w:after="0" w:line="14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D&amp;A decreased primarily due to certain gaming equipment, intangible assets and software primarily associated with historical acquisitions becoming fully depreciated and amortized in the prior year period, which was partially offset by approximately $10 million related to accelerated amortization related to certain of our legacy trade names triggered by ongoing corporate wide re-branding (see Note 11 for additional details). The impact of accelerated amortization expense related to these legacy trade names is expected to continue over the next six quarters in the quarterly amount of approximately $16 million, however this estimate is subject to change and could accelerate or decelerate depending on the facts and circumstances related to our re-branding initiatives.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5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Goodwill impairment recorded in the prior year was related to our U.K. Gaming reporting unit, which was recorded during the first quarter of 2020. See Note 11 for additional details on Goodwill impairment charge.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other</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8" w:name="page59"/>
    <w:bookmarkEnd w:id="58"/>
    <w:p>
      <w:pPr>
        <w:ind w:right="60" w:firstLine="648"/>
        <w:spacing w:after="0" w:line="231" w:lineRule="auto"/>
        <w:rPr>
          <w:sz w:val="20"/>
          <w:szCs w:val="20"/>
          <w:color w:val="auto"/>
        </w:rPr>
      </w:pPr>
      <w:r>
        <w:rPr>
          <w:rFonts w:ascii="Arial" w:cs="Arial" w:eastAsia="Arial" w:hAnsi="Arial"/>
          <w:sz w:val="18"/>
          <w:szCs w:val="18"/>
          <w:color w:val="auto"/>
        </w:rPr>
        <w:t>The increase in R&amp;O is primarily due to charges related to the announced sales of the Lottery and Sports Betting businesses, and to a lesser extent business integration and optimization initiatives implementation costs primarily associated with efficiency programs coupled with the legal settlement charge of $25 million associated with the Washington State Matter (see Note 20), which were partially offset by higher COVID-19 business disruption charges in the prior year. See Note 5 for additional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Affecting Net Income (Loss) Attributable to SGC Comparability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6"/>
                <w:szCs w:val="16"/>
                <w:color w:val="auto"/>
              </w:rPr>
            </w:pPr>
          </w:p>
        </w:tc>
        <w:tc>
          <w:tcPr>
            <w:tcW w:w="2280" w:type="dxa"/>
            <w:vAlign w:val="bottom"/>
            <w:gridSpan w:val="5"/>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66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Factors Affecting Net Income (Loss)</w:t>
            </w: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gridSpan w:val="3"/>
          </w:tcPr>
          <w:p>
            <w:pPr>
              <w:jc w:val="center"/>
              <w:ind w:right="2410"/>
              <w:spacing w:after="0"/>
              <w:rPr>
                <w:sz w:val="20"/>
                <w:szCs w:val="20"/>
                <w:color w:val="auto"/>
              </w:rPr>
            </w:pPr>
            <w:r>
              <w:rPr>
                <w:rFonts w:ascii="Arial" w:cs="Arial" w:eastAsia="Arial" w:hAnsi="Arial"/>
                <w:sz w:val="16"/>
                <w:szCs w:val="16"/>
                <w:b w:val="1"/>
                <w:bCs w:val="1"/>
                <w:color w:val="auto"/>
                <w:w w:val="89"/>
              </w:rPr>
              <w:t>2021 vs. 2020</w:t>
            </w:r>
          </w:p>
        </w:tc>
      </w:tr>
      <w:tr>
        <w:trPr>
          <w:trHeight w:val="172"/>
        </w:trPr>
        <w:tc>
          <w:tcPr>
            <w:tcW w:w="2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Gain (loss) on</w:t>
            </w:r>
          </w:p>
        </w:tc>
        <w:tc>
          <w:tcPr>
            <w:tcW w:w="200" w:type="dxa"/>
            <w:vAlign w:val="bottom"/>
            <w:shd w:val="clear" w:color="auto" w:fill="CCEEFF"/>
          </w:tcPr>
          <w:p>
            <w:pPr>
              <w:jc w:val="right"/>
              <w:ind w:right="10"/>
              <w:spacing w:after="0" w:line="17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70"/>
              <w:spacing w:after="0" w:line="17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4"/>
                <w:szCs w:val="14"/>
                <w:color w:val="auto"/>
              </w:rPr>
            </w:pPr>
          </w:p>
        </w:tc>
        <w:tc>
          <w:tcPr>
            <w:tcW w:w="6680" w:type="dxa"/>
            <w:vAlign w:val="bottom"/>
            <w:gridSpan w:val="4"/>
            <w:shd w:val="clear" w:color="auto" w:fill="CCEEFF"/>
          </w:tcPr>
          <w:p>
            <w:pPr>
              <w:ind w:left="20"/>
              <w:spacing w:after="0" w:line="172" w:lineRule="exact"/>
              <w:rPr>
                <w:sz w:val="20"/>
                <w:szCs w:val="20"/>
                <w:color w:val="auto"/>
              </w:rPr>
            </w:pPr>
            <w:r>
              <w:rPr>
                <w:rFonts w:ascii="Arial" w:cs="Arial" w:eastAsia="Arial" w:hAnsi="Arial"/>
                <w:sz w:val="18"/>
                <w:szCs w:val="18"/>
                <w:color w:val="auto"/>
                <w:w w:val="91"/>
              </w:rPr>
              <w:t>Gains and (losses) are attributable to remeasurement of the 2026 Secured Euro Notes and</w:t>
            </w:r>
          </w:p>
        </w:tc>
      </w:tr>
      <w:tr>
        <w:trPr>
          <w:trHeight w:val="189"/>
        </w:trPr>
        <w:tc>
          <w:tcPr>
            <w:tcW w:w="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remeasurement of debt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8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2026 Unsecured Euro Notes and reflect changes in the Euro vs. the U.S. Dollar foreign</w:t>
            </w:r>
          </w:p>
        </w:tc>
      </w:tr>
      <w:tr>
        <w:trPr>
          <w:trHeight w:val="175"/>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3"/>
              </w:rPr>
              <w:t>exchange rates between the periods.</w:t>
            </w:r>
          </w:p>
        </w:tc>
        <w:tc>
          <w:tcPr>
            <w:tcW w:w="16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95"/>
                <w:shd w:val="clear" w:color="auto" w:fill="CCEEFF"/>
              </w:rPr>
              <w:t>Approximately 69%</w:t>
            </w:r>
          </w:p>
        </w:tc>
        <w:tc>
          <w:tcPr>
            <w:tcW w:w="2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of our Euro Notes were not treated</w:t>
            </w:r>
          </w:p>
        </w:tc>
      </w:tr>
      <w:tr>
        <w:trPr>
          <w:trHeight w:val="216"/>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9"/>
              </w:rPr>
              <w:t>as a net investment hedge in 2021</w:t>
            </w:r>
          </w:p>
        </w:tc>
        <w:tc>
          <w:tcPr>
            <w:tcW w:w="1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2"/>
              </w:rPr>
              <w:t>compared to 81%</w:t>
            </w: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 2020.</w:t>
            </w:r>
          </w:p>
        </w:tc>
      </w:tr>
      <w:tr>
        <w:trPr>
          <w:trHeight w:val="176"/>
        </w:trPr>
        <w:tc>
          <w:tcPr>
            <w:tcW w:w="20" w:type="dxa"/>
            <w:vAlign w:val="bottom"/>
          </w:tcPr>
          <w:p>
            <w:pPr>
              <w:spacing w:after="0"/>
              <w:rPr>
                <w:sz w:val="15"/>
                <w:szCs w:val="15"/>
                <w:color w:val="auto"/>
              </w:rPr>
            </w:pPr>
          </w:p>
        </w:tc>
        <w:tc>
          <w:tcPr>
            <w:tcW w:w="20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668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3"/>
              </w:rPr>
              <w:t>The increase is primarily due to higher impact of foreign currency exchange rates coupled</w:t>
            </w:r>
          </w:p>
        </w:tc>
      </w:tr>
      <w:tr>
        <w:trPr>
          <w:trHeight w:val="175"/>
        </w:trPr>
        <w:tc>
          <w:tcPr>
            <w:tcW w:w="20" w:type="dxa"/>
            <w:vAlign w:val="bottom"/>
          </w:tcPr>
          <w:p>
            <w:pPr>
              <w:spacing w:after="0"/>
              <w:rPr>
                <w:sz w:val="15"/>
                <w:szCs w:val="15"/>
                <w:color w:val="auto"/>
              </w:rPr>
            </w:pPr>
          </w:p>
        </w:tc>
        <w:tc>
          <w:tcPr>
            <w:tcW w:w="20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8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3"/>
              </w:rPr>
              <w:t>with a $16 million gain on sale of certain assets and as a result of acquisitions included in</w:t>
            </w:r>
          </w:p>
        </w:tc>
      </w:tr>
      <w:tr>
        <w:trPr>
          <w:trHeight w:val="23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80" w:type="dxa"/>
            <w:vAlign w:val="bottom"/>
            <w:gridSpan w:val="4"/>
          </w:tcPr>
          <w:p>
            <w:pPr>
              <w:ind w:left="20"/>
              <w:spacing w:after="0"/>
              <w:rPr>
                <w:sz w:val="20"/>
                <w:szCs w:val="20"/>
                <w:color w:val="auto"/>
              </w:rPr>
            </w:pPr>
            <w:r>
              <w:rPr>
                <w:rFonts w:ascii="Arial" w:cs="Arial" w:eastAsia="Arial" w:hAnsi="Arial"/>
                <w:sz w:val="18"/>
                <w:szCs w:val="18"/>
                <w:color w:val="auto"/>
              </w:rPr>
              <w:t>the current year.</w:t>
            </w:r>
          </w:p>
        </w:tc>
      </w:tr>
      <w:tr>
        <w:trPr>
          <w:trHeight w:val="175"/>
        </w:trPr>
        <w:tc>
          <w:tcPr>
            <w:tcW w:w="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668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The increase is primarily due to the release of the valuation allowance in 2021 primarily</w:t>
            </w:r>
          </w:p>
        </w:tc>
      </w:tr>
      <w:tr>
        <w:trPr>
          <w:trHeight w:val="230"/>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related to the Pending Divestitures (see Note 19).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(F/X)</w:t>
      </w:r>
    </w:p>
    <w:p>
      <w:pPr>
        <w:spacing w:after="0" w:line="144"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55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557"/>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Revenue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 Consolidated Revenue</w:t>
            </w:r>
          </w:p>
        </w:tc>
        <w:tc>
          <w:tcPr>
            <w:tcW w:w="1100" w:type="dxa"/>
            <w:vAlign w:val="bottom"/>
          </w:tcPr>
          <w:p>
            <w:pPr>
              <w:jc w:val="center"/>
              <w:ind w:right="39"/>
              <w:spacing w:after="0" w:line="131" w:lineRule="exact"/>
              <w:rPr>
                <w:sz w:val="20"/>
                <w:szCs w:val="20"/>
                <w:color w:val="auto"/>
              </w:rPr>
            </w:pPr>
            <w:r>
              <w:rPr>
                <w:rFonts w:ascii="Arial" w:cs="Arial" w:eastAsia="Arial" w:hAnsi="Arial"/>
                <w:sz w:val="14"/>
                <w:szCs w:val="14"/>
                <w:b w:val="1"/>
                <w:bCs w:val="1"/>
                <w:color w:val="auto"/>
                <w:w w:val="97"/>
              </w:rPr>
              <w:t>F/X Impact on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8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 Consolidated Revenue</w:t>
            </w:r>
          </w:p>
        </w:tc>
        <w:tc>
          <w:tcPr>
            <w:tcW w:w="1120" w:type="dxa"/>
            <w:vAlign w:val="bottom"/>
          </w:tcPr>
          <w:p>
            <w:pPr>
              <w:jc w:val="right"/>
              <w:ind w:right="99"/>
              <w:spacing w:after="0" w:line="131" w:lineRule="exact"/>
              <w:rPr>
                <w:sz w:val="20"/>
                <w:szCs w:val="20"/>
                <w:color w:val="auto"/>
              </w:rPr>
            </w:pPr>
            <w:r>
              <w:rPr>
                <w:rFonts w:ascii="Arial" w:cs="Arial" w:eastAsia="Arial" w:hAnsi="Arial"/>
                <w:sz w:val="14"/>
                <w:szCs w:val="14"/>
                <w:b w:val="1"/>
                <w:bCs w:val="1"/>
                <w:color w:val="auto"/>
              </w:rPr>
              <w:t>F/X Impact 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120" w:type="dxa"/>
            <w:vAlign w:val="bottom"/>
          </w:tcPr>
          <w:p>
            <w:pPr>
              <w:jc w:val="right"/>
              <w:ind w:right="299"/>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w:t>
            </w: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British Pound Sterling</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175</w:t>
            </w:r>
          </w:p>
        </w:tc>
        <w:tc>
          <w:tcPr>
            <w:tcW w:w="80" w:type="dxa"/>
            <w:vAlign w:val="bottom"/>
          </w:tcPr>
          <w:p>
            <w:pPr>
              <w:spacing w:after="0"/>
              <w:rPr>
                <w:sz w:val="19"/>
                <w:szCs w:val="19"/>
                <w:color w:val="auto"/>
              </w:rPr>
            </w:pPr>
          </w:p>
        </w:tc>
        <w:tc>
          <w:tcPr>
            <w:tcW w:w="1860" w:type="dxa"/>
            <w:vAlign w:val="bottom"/>
            <w:gridSpan w:val="3"/>
          </w:tcPr>
          <w:p>
            <w:pPr>
              <w:ind w:left="1300"/>
              <w:spacing w:after="0"/>
              <w:rPr>
                <w:sz w:val="20"/>
                <w:szCs w:val="20"/>
                <w:color w:val="auto"/>
              </w:rPr>
            </w:pPr>
            <w:r>
              <w:rPr>
                <w:rFonts w:ascii="Arial" w:cs="Arial" w:eastAsia="Arial" w:hAnsi="Arial"/>
                <w:sz w:val="18"/>
                <w:szCs w:val="18"/>
                <w:color w:val="auto"/>
              </w:rPr>
              <w:t>8 %  $</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860" w:type="dxa"/>
            <w:vAlign w:val="bottom"/>
            <w:gridSpan w:val="3"/>
          </w:tcPr>
          <w:p>
            <w:pPr>
              <w:ind w:left="1300"/>
              <w:spacing w:after="0"/>
              <w:rPr>
                <w:sz w:val="20"/>
                <w:szCs w:val="20"/>
                <w:color w:val="auto"/>
              </w:rPr>
            </w:pPr>
            <w:r>
              <w:rPr>
                <w:rFonts w:ascii="Arial" w:cs="Arial" w:eastAsia="Arial" w:hAnsi="Arial"/>
                <w:sz w:val="18"/>
                <w:szCs w:val="18"/>
                <w:color w:val="auto"/>
              </w:rPr>
              <w:t>8 %  $</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6"/>
              </w:rPr>
              <w:t>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0"/>
              </w:rPr>
              <w:t>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31" w:lineRule="exact"/>
        <w:rPr>
          <w:sz w:val="20"/>
          <w:szCs w:val="20"/>
          <w:color w:val="auto"/>
        </w:rPr>
      </w:pPr>
    </w:p>
    <w:p>
      <w:pPr>
        <w:ind w:right="40" w:firstLine="648"/>
        <w:spacing w:after="0" w:line="246" w:lineRule="auto"/>
        <w:rPr>
          <w:sz w:val="20"/>
          <w:szCs w:val="20"/>
          <w:color w:val="auto"/>
        </w:rPr>
      </w:pPr>
      <w:r>
        <w:rPr>
          <w:rFonts w:ascii="Arial" w:cs="Arial" w:eastAsia="Arial" w:hAnsi="Arial"/>
          <w:sz w:val="17"/>
          <w:szCs w:val="17"/>
          <w:color w:val="auto"/>
        </w:rPr>
        <w:t>The $132 million or 13% increase in 2021 revenue is primarily due to higher Lottery instant products and systems revenue due to the impact of COVID-19 on the prior year results coupled with the large lottery jackpots in the first half of 2021 driving both instant products sales and system increases, coupled with higher revenue from the Sports Betting business due to continued growth and expansion in the U.S. sports-betting market. These increases in revenue primarily drove the increase in net income from discontinued operations, net of tax by $113 million or 45%.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58"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As described in the “</w:t>
      </w:r>
      <w:r>
        <w:rPr>
          <w:rFonts w:ascii="Arial" w:cs="Arial" w:eastAsia="Arial" w:hAnsi="Arial"/>
          <w:sz w:val="18"/>
          <w:szCs w:val="18"/>
          <w:i w:val="1"/>
          <w:iCs w:val="1"/>
          <w:color w:val="auto"/>
        </w:rPr>
        <w:t>Business Overview – Highlights, including recent developments – Impacts of COVID-19 on Business Operations,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and Liquidity</w:t>
      </w:r>
      <w:r>
        <w:rPr>
          <w:rFonts w:ascii="Arial" w:cs="Arial" w:eastAsia="Arial" w:hAnsi="Arial"/>
          <w:sz w:val="18"/>
          <w:szCs w:val="18"/>
          <w:color w:val="auto"/>
        </w:rPr>
        <w:t>” section above, our 2020 total revenue, specifically revenues for the Gaming business segment, was adversely impacted by COVID-19 disruptions. Gaming business segment 2020 revenue also reflects $36 million lower system revenues due to completion of certain Canadian systems launches that we benefited from in the prior year comparable period.</w:t>
      </w:r>
    </w:p>
    <w:p>
      <w:pPr>
        <w:spacing w:after="0" w:line="106" w:lineRule="exact"/>
        <w:rPr>
          <w:sz w:val="20"/>
          <w:szCs w:val="20"/>
          <w:color w:val="auto"/>
        </w:rPr>
      </w:pPr>
    </w:p>
    <w:p>
      <w:pPr>
        <w:ind w:right="380" w:firstLine="648"/>
        <w:spacing w:after="0" w:line="248" w:lineRule="auto"/>
        <w:rPr>
          <w:sz w:val="20"/>
          <w:szCs w:val="20"/>
          <w:color w:val="auto"/>
        </w:rPr>
      </w:pPr>
      <w:r>
        <w:rPr>
          <w:rFonts w:ascii="Arial" w:cs="Arial" w:eastAsia="Arial" w:hAnsi="Arial"/>
          <w:sz w:val="18"/>
          <w:szCs w:val="18"/>
          <w:color w:val="auto"/>
        </w:rPr>
        <w:t xml:space="preserve">SciPlay revenue increased by $116 million or 25% primarily due to continued growth in our mobile platform business and increased player engagement as a result of the stay at home measures across North America and other countries coupled with the ongoing popularity of </w:t>
      </w:r>
      <w:r>
        <w:rPr>
          <w:rFonts w:ascii="Arial" w:cs="Arial" w:eastAsia="Arial" w:hAnsi="Arial"/>
          <w:sz w:val="18"/>
          <w:szCs w:val="18"/>
          <w:i w:val="1"/>
          <w:iCs w:val="1"/>
          <w:color w:val="auto"/>
        </w:rPr>
        <w:t>Jackpot Party®</w:t>
      </w:r>
      <w:r>
        <w:rPr>
          <w:rFonts w:ascii="Arial" w:cs="Arial" w:eastAsia="Arial" w:hAnsi="Arial"/>
          <w:sz w:val="18"/>
          <w:szCs w:val="18"/>
          <w:color w:val="auto"/>
        </w:rPr>
        <w:t xml:space="preserve"> </w:t>
      </w:r>
      <w:r>
        <w:rPr>
          <w:rFonts w:ascii="Arial" w:cs="Arial" w:eastAsia="Arial" w:hAnsi="Arial"/>
          <w:sz w:val="18"/>
          <w:szCs w:val="18"/>
          <w:i w:val="1"/>
          <w:iCs w:val="1"/>
          <w:color w:val="auto"/>
        </w:rPr>
        <w:t>Casino</w:t>
      </w:r>
      <w:r>
        <w:rPr>
          <w:rFonts w:ascii="Arial" w:cs="Arial" w:eastAsia="Arial" w:hAnsi="Arial"/>
          <w:sz w:val="18"/>
          <w:szCs w:val="18"/>
          <w:color w:val="auto"/>
        </w:rPr>
        <w:t>,</w:t>
      </w:r>
      <w:r>
        <w:rPr>
          <w:rFonts w:ascii="Arial" w:cs="Arial" w:eastAsia="Arial" w:hAnsi="Arial"/>
          <w:sz w:val="18"/>
          <w:szCs w:val="18"/>
          <w:i w:val="1"/>
          <w:iCs w:val="1"/>
          <w:color w:val="auto"/>
        </w:rPr>
        <w:t xml:space="preserve"> Gold Fish® Casino</w:t>
      </w:r>
      <w:r>
        <w:rPr>
          <w:rFonts w:ascii="Arial" w:cs="Arial" w:eastAsia="Arial" w:hAnsi="Arial"/>
          <w:sz w:val="18"/>
          <w:szCs w:val="18"/>
          <w:color w:val="auto"/>
        </w:rPr>
        <w:t>,</w:t>
      </w:r>
      <w:r>
        <w:rPr>
          <w:rFonts w:ascii="Arial" w:cs="Arial" w:eastAsia="Arial" w:hAnsi="Arial"/>
          <w:sz w:val="18"/>
          <w:szCs w:val="18"/>
          <w:i w:val="1"/>
          <w:iCs w:val="1"/>
          <w:color w:val="auto"/>
        </w:rPr>
        <w:t xml:space="preserve"> Quick Hit® Slots</w:t>
      </w:r>
      <w:r>
        <w:rPr>
          <w:rFonts w:ascii="Arial" w:cs="Arial" w:eastAsia="Arial" w:hAnsi="Arial"/>
          <w:sz w:val="18"/>
          <w:szCs w:val="18"/>
          <w:color w:val="auto"/>
        </w:rPr>
        <w:t>, and</w:t>
      </w:r>
      <w:r>
        <w:rPr>
          <w:rFonts w:ascii="Arial" w:cs="Arial" w:eastAsia="Arial" w:hAnsi="Arial"/>
          <w:sz w:val="18"/>
          <w:szCs w:val="18"/>
          <w:i w:val="1"/>
          <w:iCs w:val="1"/>
          <w:color w:val="auto"/>
        </w:rPr>
        <w:t xml:space="preserve"> MONOPOLY® Slots.</w:t>
      </w:r>
    </w:p>
    <w:p>
      <w:pPr>
        <w:spacing w:after="0" w:line="11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iGaming revenue increased by $17 million or 10% primarily due to increased iGaming activity that benefited from increased free time and stay at home measures as a result of COVID-19 disruptions coupled with growth in the U.S. market.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2020 consolidated revenues were impacted by $4 million of favorable F/X impact compared to $22 million of unfavorable impact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Operating expenses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center"/>
              <w:ind w:left="152"/>
              <w:spacing w:after="0"/>
              <w:rPr>
                <w:sz w:val="20"/>
                <w:szCs w:val="20"/>
                <w:color w:val="auto"/>
              </w:rPr>
            </w:pPr>
            <w:r>
              <w:rPr>
                <w:rFonts w:ascii="Arial" w:cs="Arial" w:eastAsia="Arial" w:hAnsi="Arial"/>
                <w:sz w:val="16"/>
                <w:szCs w:val="16"/>
                <w:b w:val="1"/>
                <w:bCs w:val="1"/>
                <w:color w:val="auto"/>
                <w:w w:val="92"/>
              </w:rPr>
              <w:t>Variance</w:t>
            </w:r>
          </w:p>
        </w:tc>
        <w:tc>
          <w:tcPr>
            <w:tcW w:w="720" w:type="dxa"/>
            <w:vAlign w:val="bottom"/>
            <w:tcBorders>
              <w:bottom w:val="single" w:sz="8" w:color="auto"/>
            </w:tcBorders>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56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5"/>
                <w:szCs w:val="15"/>
                <w:color w:val="auto"/>
              </w:rPr>
            </w:pPr>
          </w:p>
        </w:tc>
        <w:tc>
          <w:tcPr>
            <w:tcW w:w="980" w:type="dxa"/>
            <w:vAlign w:val="bottom"/>
          </w:tcPr>
          <w:p>
            <w:pPr>
              <w:jc w:val="right"/>
              <w:ind w:right="392"/>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91"/>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gridSpan w:val="2"/>
          </w:tcPr>
          <w:p>
            <w:pPr>
              <w:jc w:val="center"/>
              <w:ind w:left="152"/>
              <w:spacing w:after="0" w:line="175" w:lineRule="exact"/>
              <w:rPr>
                <w:sz w:val="20"/>
                <w:szCs w:val="20"/>
                <w:color w:val="auto"/>
              </w:rPr>
            </w:pPr>
            <w:r>
              <w:rPr>
                <w:rFonts w:ascii="Arial" w:cs="Arial" w:eastAsia="Arial" w:hAnsi="Arial"/>
                <w:sz w:val="16"/>
                <w:szCs w:val="16"/>
                <w:b w:val="1"/>
                <w:bCs w:val="1"/>
                <w:color w:val="auto"/>
                <w:w w:val="87"/>
              </w:rPr>
              <w:t>2020 vs. 2019</w:t>
            </w:r>
          </w:p>
        </w:tc>
        <w:tc>
          <w:tcPr>
            <w:tcW w:w="72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tcPr>
          <w:p>
            <w:pPr>
              <w:ind w:left="100"/>
              <w:spacing w:after="0" w:line="243" w:lineRule="exact"/>
              <w:rPr>
                <w:sz w:val="20"/>
                <w:szCs w:val="20"/>
                <w:color w:val="auto"/>
              </w:rPr>
            </w:pPr>
            <w:r>
              <w:rPr>
                <w:rFonts w:ascii="Arial" w:cs="Arial" w:eastAsia="Arial" w:hAnsi="Arial"/>
                <w:sz w:val="18"/>
                <w:szCs w:val="18"/>
                <w:color w:val="auto"/>
              </w:rPr>
              <w:t>Cost of services</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8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0" w:type="dxa"/>
            <w:vAlign w:val="bottom"/>
            <w:shd w:val="clear" w:color="auto" w:fill="CCEEFF"/>
          </w:tcPr>
          <w:p>
            <w:pPr>
              <w:spacing w:after="0"/>
              <w:rPr>
                <w:sz w:val="21"/>
                <w:szCs w:val="21"/>
                <w:color w:val="auto"/>
              </w:rPr>
            </w:pPr>
          </w:p>
        </w:tc>
        <w:tc>
          <w:tcPr>
            <w:tcW w:w="5620" w:type="dxa"/>
            <w:vAlign w:val="bottom"/>
            <w:gridSpan w:val="2"/>
            <w:shd w:val="clear" w:color="auto" w:fill="CCEEFF"/>
          </w:tcPr>
          <w:p>
            <w:pPr>
              <w:ind w:left="100"/>
              <w:spacing w:after="0" w:line="243" w:lineRule="exact"/>
              <w:rPr>
                <w:sz w:val="20"/>
                <w:szCs w:val="20"/>
                <w:color w:val="auto"/>
              </w:rPr>
            </w:pPr>
            <w:r>
              <w:rPr>
                <w:rFonts w:ascii="Arial" w:cs="Arial" w:eastAsia="Arial" w:hAnsi="Arial"/>
                <w:sz w:val="18"/>
                <w:szCs w:val="18"/>
                <w:color w:val="auto"/>
              </w:rPr>
              <w:t>Cost of product sales</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19"/>
                <w:szCs w:val="19"/>
                <w:color w:val="auto"/>
              </w:rPr>
            </w:pPr>
          </w:p>
        </w:tc>
        <w:tc>
          <w:tcPr>
            <w:tcW w:w="5620" w:type="dxa"/>
            <w:vAlign w:val="bottom"/>
            <w:gridSpan w:val="2"/>
          </w:tcPr>
          <w:p>
            <w:pPr>
              <w:ind w:left="120"/>
              <w:spacing w:after="0"/>
              <w:rPr>
                <w:sz w:val="20"/>
                <w:szCs w:val="20"/>
                <w:color w:val="auto"/>
              </w:rPr>
            </w:pPr>
            <w:r>
              <w:rPr>
                <w:rFonts w:ascii="Arial" w:cs="Arial" w:eastAsia="Arial" w:hAnsi="Arial"/>
                <w:sz w:val="18"/>
                <w:szCs w:val="18"/>
                <w:color w:val="auto"/>
              </w:rPr>
              <w:t>SG&amp;A</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R&amp;D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5620" w:type="dxa"/>
            <w:vAlign w:val="bottom"/>
            <w:gridSpan w:val="2"/>
          </w:tcPr>
          <w:p>
            <w:pPr>
              <w:ind w:left="120"/>
              <w:spacing w:after="0"/>
              <w:rPr>
                <w:sz w:val="20"/>
                <w:szCs w:val="20"/>
                <w:color w:val="auto"/>
              </w:rPr>
            </w:pPr>
            <w:r>
              <w:rPr>
                <w:rFonts w:ascii="Arial" w:cs="Arial" w:eastAsia="Arial" w:hAnsi="Arial"/>
                <w:sz w:val="18"/>
                <w:szCs w:val="18"/>
                <w:color w:val="auto"/>
              </w:rPr>
              <w:t>D&amp;A</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 impairment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20" w:type="dxa"/>
            <w:vAlign w:val="bottom"/>
            <w:tcBorders>
              <w:bottom w:val="single" w:sz="8" w:color="CCEEFF"/>
            </w:tcBorders>
          </w:tcPr>
          <w:p>
            <w:pPr>
              <w:spacing w:after="0"/>
              <w:rPr>
                <w:sz w:val="19"/>
                <w:szCs w:val="19"/>
                <w:color w:val="auto"/>
              </w:rPr>
            </w:pPr>
          </w:p>
        </w:tc>
        <w:tc>
          <w:tcPr>
            <w:tcW w:w="5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Restructuring and 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124 %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nm = not meaningful.</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Excludes D&amp;A.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5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Cost of revenue for the year ended December 31, 2020 decreased primarily due to the COVID-19 disruptions described above resulting in Gaming machine sales revenue decreasing by 49% or $297 million. Additionally, the year ended December 31, 2020 Cost of product sales included approximately $48 million, in Gaming segment inventory valuation charges, due to a decrease in demand for certain platforms as we believe that our customers will continue to extend replacement cycles to preserve their liquidity following their return to full operations combined with a reassessment of our Gaming product strategy, which was implemented during the year (see Note 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w:t>
      </w:r>
    </w:p>
    <w:p>
      <w:pPr>
        <w:spacing w:after="0" w:line="15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SG&amp;A increased primarily due to an increase of $54 million in the Gaming business segment allowance for credit losses, that reflect forecasted credit deterioration due to the COVID-19 disruptions generally and credit weakness in our Latin America receivables portfolio specifically (see Note 7). The SG&amp;A increase was partially offset by company-wide austerity measures implemented in response to the COVID-19 disruptions described above, which resulted in lower SG&amp;A compensation and benefit expenses of $45 million for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R&amp;D</w:t>
      </w:r>
    </w:p>
    <w:p>
      <w:pPr>
        <w:spacing w:after="0" w:line="14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R&amp;D decreased primarily due to company-wide austerity measures in response to the COVID-19 disruptions described above resulting in lower R&amp;D compensation and benefit expenses of $18 million for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D&amp;A</w:t>
      </w:r>
    </w:p>
    <w:p>
      <w:pPr>
        <w:spacing w:after="0" w:line="158" w:lineRule="exact"/>
        <w:rPr>
          <w:sz w:val="20"/>
          <w:szCs w:val="20"/>
          <w:color w:val="auto"/>
        </w:rPr>
      </w:pPr>
    </w:p>
    <w:p>
      <w:pPr>
        <w:ind w:right="1740" w:firstLine="648"/>
        <w:spacing w:after="0" w:line="414" w:lineRule="auto"/>
        <w:rPr>
          <w:sz w:val="20"/>
          <w:szCs w:val="20"/>
          <w:color w:val="auto"/>
        </w:rPr>
      </w:pPr>
      <w:r>
        <w:rPr>
          <w:rFonts w:ascii="Arial" w:cs="Arial" w:eastAsia="Arial" w:hAnsi="Arial"/>
          <w:sz w:val="18"/>
          <w:szCs w:val="18"/>
          <w:color w:val="auto"/>
        </w:rPr>
        <w:t xml:space="preserve">D&amp;A decreased primarily due to certain Gaming intangible assets and software becoming fully amortized in the prior year. </w:t>
      </w:r>
      <w:r>
        <w:rPr>
          <w:rFonts w:ascii="Arial" w:cs="Arial" w:eastAsia="Arial" w:hAnsi="Arial"/>
          <w:sz w:val="18"/>
          <w:szCs w:val="18"/>
          <w:i w:val="1"/>
          <w:iCs w:val="1"/>
          <w:color w:val="auto"/>
        </w:rPr>
        <w:t>Goodwill impairment</w:t>
      </w:r>
    </w:p>
    <w:p>
      <w:pPr>
        <w:spacing w:after="0" w:line="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Goodwill impairment increase was related to our U.K. Gaming reporting unit, which was recorded during the first quarter of 2020. See Note 11 for additional details on Goodwill impairment charge.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other</w:t>
      </w:r>
    </w:p>
    <w:p>
      <w:pPr>
        <w:spacing w:after="0" w:line="14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increase is primarily due to severance and related charges associated with COVID-19 disruptions. See Note 5 for additional details on Restructuring and other charges.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Other Factors Affecting Net Loss Attributable to SGC Comparability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6"/>
                <w:szCs w:val="16"/>
                <w:color w:val="auto"/>
              </w:rPr>
            </w:pPr>
          </w:p>
        </w:tc>
        <w:tc>
          <w:tcPr>
            <w:tcW w:w="220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6220" w:type="dxa"/>
            <w:vAlign w:val="bottom"/>
          </w:tcPr>
          <w:p>
            <w:pPr>
              <w:ind w:left="2200"/>
              <w:spacing w:after="0"/>
              <w:rPr>
                <w:sz w:val="20"/>
                <w:szCs w:val="20"/>
                <w:color w:val="auto"/>
              </w:rPr>
            </w:pPr>
            <w:r>
              <w:rPr>
                <w:rFonts w:ascii="Arial" w:cs="Arial" w:eastAsia="Arial" w:hAnsi="Arial"/>
                <w:sz w:val="16"/>
                <w:szCs w:val="16"/>
                <w:b w:val="1"/>
                <w:bCs w:val="1"/>
                <w:color w:val="auto"/>
              </w:rPr>
              <w:t>Factors Affecting Net Loss</w:t>
            </w: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7"/>
                <w:szCs w:val="17"/>
                <w:color w:val="auto"/>
              </w:rPr>
            </w:pPr>
          </w:p>
        </w:tc>
        <w:tc>
          <w:tcPr>
            <w:tcW w:w="6220" w:type="dxa"/>
            <w:vAlign w:val="bottom"/>
            <w:tcBorders>
              <w:bottom w:val="single" w:sz="8" w:color="auto"/>
            </w:tcBorders>
          </w:tcPr>
          <w:p>
            <w:pPr>
              <w:ind w:left="2660"/>
              <w:spacing w:after="0"/>
              <w:rPr>
                <w:sz w:val="20"/>
                <w:szCs w:val="20"/>
                <w:color w:val="auto"/>
              </w:rPr>
            </w:pPr>
            <w:r>
              <w:rPr>
                <w:rFonts w:ascii="Arial" w:cs="Arial" w:eastAsia="Arial" w:hAnsi="Arial"/>
                <w:sz w:val="16"/>
                <w:szCs w:val="16"/>
                <w:b w:val="1"/>
                <w:bCs w:val="1"/>
                <w:color w:val="auto"/>
              </w:rPr>
              <w:t>2020 vs. 2019</w:t>
            </w:r>
          </w:p>
        </w:tc>
      </w:tr>
      <w:tr>
        <w:trPr>
          <w:trHeight w:val="172"/>
        </w:trPr>
        <w:tc>
          <w:tcPr>
            <w:tcW w:w="20" w:type="dxa"/>
            <w:vAlign w:val="bottom"/>
            <w:shd w:val="clear" w:color="auto" w:fill="CCEEFF"/>
          </w:tcPr>
          <w:p>
            <w:pPr>
              <w:spacing w:after="0"/>
              <w:rPr>
                <w:sz w:val="14"/>
                <w:szCs w:val="14"/>
                <w:color w:val="auto"/>
              </w:rPr>
            </w:pPr>
          </w:p>
        </w:tc>
        <w:tc>
          <w:tcPr>
            <w:tcW w:w="25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jc w:val="right"/>
              <w:ind w:right="30"/>
              <w:spacing w:after="0" w:line="17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50"/>
              <w:spacing w:after="0" w:line="17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4"/>
                <w:szCs w:val="14"/>
                <w:color w:val="auto"/>
              </w:rPr>
            </w:pPr>
          </w:p>
        </w:tc>
        <w:tc>
          <w:tcPr>
            <w:tcW w:w="62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1"/>
              </w:rPr>
              <w:t>The decrease in interest expense for the year ended December 31, 2020 reflects the</w:t>
            </w:r>
          </w:p>
        </w:tc>
      </w:tr>
      <w:tr>
        <w:trPr>
          <w:trHeight w:val="176"/>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favorable impact of 2019 refinancing activities resulting in lower interest costs</w:t>
            </w:r>
          </w:p>
        </w:tc>
      </w:tr>
      <w:tr>
        <w:trPr>
          <w:trHeight w:val="176"/>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(refinancing activities for 2020 are further discussed in “Liquidity, Capital Resources</w:t>
            </w:r>
          </w:p>
        </w:tc>
      </w:tr>
      <w:tr>
        <w:trPr>
          <w:trHeight w:val="229"/>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Working Capital” and for both periods in Note 15).</w:t>
            </w:r>
          </w:p>
        </w:tc>
      </w:tr>
      <w:tr>
        <w:trPr>
          <w:trHeight w:val="176"/>
        </w:trPr>
        <w:tc>
          <w:tcPr>
            <w:tcW w:w="20" w:type="dxa"/>
            <w:vAlign w:val="bottom"/>
          </w:tcPr>
          <w:p>
            <w:pPr>
              <w:spacing w:after="0"/>
              <w:rPr>
                <w:sz w:val="15"/>
                <w:szCs w:val="15"/>
                <w:color w:val="auto"/>
              </w:rPr>
            </w:pPr>
          </w:p>
        </w:tc>
        <w:tc>
          <w:tcPr>
            <w:tcW w:w="2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Loss on debt financing</w:t>
            </w:r>
          </w:p>
        </w:tc>
        <w:tc>
          <w:tcPr>
            <w:tcW w:w="2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5"/>
                <w:szCs w:val="15"/>
                <w:color w:val="auto"/>
              </w:rPr>
            </w:pPr>
          </w:p>
        </w:tc>
        <w:tc>
          <w:tcPr>
            <w:tcW w:w="6220" w:type="dxa"/>
            <w:vAlign w:val="bottom"/>
          </w:tcPr>
          <w:p>
            <w:pPr>
              <w:ind w:left="20"/>
              <w:spacing w:after="0" w:line="176" w:lineRule="exact"/>
              <w:rPr>
                <w:sz w:val="20"/>
                <w:szCs w:val="20"/>
                <w:color w:val="auto"/>
              </w:rPr>
            </w:pPr>
            <w:r>
              <w:rPr>
                <w:rFonts w:ascii="Arial" w:cs="Arial" w:eastAsia="Arial" w:hAnsi="Arial"/>
                <w:sz w:val="18"/>
                <w:szCs w:val="18"/>
                <w:color w:val="auto"/>
                <w:w w:val="93"/>
              </w:rPr>
              <w:t>Loss on debt financing transactions consummated during 2019 includes $80 million</w:t>
            </w:r>
          </w:p>
        </w:tc>
      </w:tr>
      <w:tr>
        <w:trPr>
          <w:trHeight w:val="175"/>
        </w:trPr>
        <w:tc>
          <w:tcPr>
            <w:tcW w:w="20" w:type="dxa"/>
            <w:vAlign w:val="bottom"/>
          </w:tcPr>
          <w:p>
            <w:pPr>
              <w:spacing w:after="0"/>
              <w:rPr>
                <w:sz w:val="15"/>
                <w:szCs w:val="15"/>
                <w:color w:val="auto"/>
              </w:rPr>
            </w:pPr>
          </w:p>
        </w:tc>
        <w:tc>
          <w:tcPr>
            <w:tcW w:w="2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transactions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20" w:type="dxa"/>
            <w:vAlign w:val="bottom"/>
          </w:tcPr>
          <w:p>
            <w:pPr>
              <w:ind w:left="20"/>
              <w:spacing w:after="0" w:line="176" w:lineRule="exact"/>
              <w:rPr>
                <w:sz w:val="20"/>
                <w:szCs w:val="20"/>
                <w:color w:val="auto"/>
              </w:rPr>
            </w:pPr>
            <w:r>
              <w:rPr>
                <w:rFonts w:ascii="Arial" w:cs="Arial" w:eastAsia="Arial" w:hAnsi="Arial"/>
                <w:sz w:val="18"/>
                <w:szCs w:val="18"/>
                <w:color w:val="auto"/>
                <w:w w:val="92"/>
              </w:rPr>
              <w:t>in premium charges associated with redemptions of the 2022 Unsecured Notes (see</w:t>
            </w:r>
          </w:p>
        </w:tc>
      </w:tr>
      <w:tr>
        <w:trPr>
          <w:trHeight w:val="23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Note 15) in the second and fourth quarters of 2019.</w:t>
            </w:r>
          </w:p>
        </w:tc>
      </w:tr>
      <w:tr>
        <w:trPr>
          <w:trHeight w:val="175"/>
        </w:trPr>
        <w:tc>
          <w:tcPr>
            <w:tcW w:w="2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(Loss) gain on remeasurement of</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6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(Losses) and gains are attributable to remeasurement of the 2026 Secured Euro Notes</w:t>
            </w:r>
          </w:p>
        </w:tc>
      </w:tr>
      <w:tr>
        <w:trPr>
          <w:trHeight w:val="176"/>
        </w:trPr>
        <w:tc>
          <w:tcPr>
            <w:tcW w:w="2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debt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and 2026 Unsecured Euro Notes and primarily reflect changes in the Euro vs. the</w:t>
            </w:r>
          </w:p>
        </w:tc>
      </w:tr>
      <w:tr>
        <w:trPr>
          <w:trHeight w:val="175"/>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U.S. Dollar foreign exchange rates between the periods. In 2019 the USD</w:t>
            </w:r>
          </w:p>
        </w:tc>
      </w:tr>
      <w:tr>
        <w:trPr>
          <w:trHeight w:val="230"/>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strengthened vs. the Euro by 3% and in 2020 the USD weakened by 9%.</w:t>
            </w:r>
          </w:p>
        </w:tc>
      </w:tr>
      <w:tr>
        <w:trPr>
          <w:trHeight w:val="175"/>
        </w:trPr>
        <w:tc>
          <w:tcPr>
            <w:tcW w:w="20" w:type="dxa"/>
            <w:vAlign w:val="bottom"/>
          </w:tcPr>
          <w:p>
            <w:pPr>
              <w:spacing w:after="0"/>
              <w:rPr>
                <w:sz w:val="15"/>
                <w:szCs w:val="15"/>
                <w:color w:val="auto"/>
              </w:rPr>
            </w:pPr>
          </w:p>
        </w:tc>
        <w:tc>
          <w:tcPr>
            <w:tcW w:w="2580" w:type="dxa"/>
            <w:vAlign w:val="bottom"/>
            <w:gridSpan w:val="2"/>
          </w:tcPr>
          <w:p>
            <w:pPr>
              <w:spacing w:after="0" w:line="176" w:lineRule="exact"/>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5"/>
                <w:szCs w:val="15"/>
                <w:color w:val="auto"/>
              </w:rPr>
            </w:pPr>
          </w:p>
        </w:tc>
        <w:tc>
          <w:tcPr>
            <w:tcW w:w="6220" w:type="dxa"/>
            <w:vAlign w:val="bottom"/>
          </w:tcPr>
          <w:p>
            <w:pPr>
              <w:ind w:left="20"/>
              <w:spacing w:after="0" w:line="176" w:lineRule="exact"/>
              <w:rPr>
                <w:sz w:val="20"/>
                <w:szCs w:val="20"/>
                <w:color w:val="auto"/>
              </w:rPr>
            </w:pPr>
            <w:r>
              <w:rPr>
                <w:rFonts w:ascii="Arial" w:cs="Arial" w:eastAsia="Arial" w:hAnsi="Arial"/>
                <w:sz w:val="18"/>
                <w:szCs w:val="18"/>
                <w:color w:val="auto"/>
                <w:w w:val="91"/>
              </w:rPr>
              <w:t>The decrease is primarily due to 2019 reflecting a $50 million income tax benefit as a</w:t>
            </w:r>
          </w:p>
        </w:tc>
      </w:tr>
      <w:tr>
        <w:trPr>
          <w:trHeight w:val="176"/>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20" w:type="dxa"/>
            <w:vAlign w:val="bottom"/>
          </w:tcPr>
          <w:p>
            <w:pPr>
              <w:ind w:left="20"/>
              <w:spacing w:after="0" w:line="176" w:lineRule="exact"/>
              <w:rPr>
                <w:sz w:val="20"/>
                <w:szCs w:val="20"/>
                <w:color w:val="auto"/>
              </w:rPr>
            </w:pPr>
            <w:r>
              <w:rPr>
                <w:rFonts w:ascii="Arial" w:cs="Arial" w:eastAsia="Arial" w:hAnsi="Arial"/>
                <w:sz w:val="18"/>
                <w:szCs w:val="18"/>
                <w:color w:val="auto"/>
                <w:w w:val="92"/>
              </w:rPr>
              <w:t>result of the exception provision within ASC 740-20-45-7 (see Note 19 for additional</w:t>
            </w: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information).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(F/X)</w:t>
      </w:r>
    </w:p>
    <w:p>
      <w:pPr>
        <w:spacing w:after="0" w:line="158"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5"/>
          </w:tcPr>
          <w:p>
            <w:pPr>
              <w:ind w:left="360"/>
              <w:spacing w:after="0"/>
              <w:rPr>
                <w:sz w:val="20"/>
                <w:szCs w:val="20"/>
                <w:color w:val="auto"/>
              </w:rPr>
            </w:pPr>
            <w:r>
              <w:rPr>
                <w:rFonts w:ascii="Arial" w:cs="Arial" w:eastAsia="Arial" w:hAnsi="Arial"/>
                <w:sz w:val="16"/>
                <w:szCs w:val="16"/>
                <w:b w:val="1"/>
                <w:bCs w:val="1"/>
                <w:color w:val="auto"/>
              </w:rPr>
              <w:t>Year Ended December 31,</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Revenue</w:t>
            </w:r>
          </w:p>
        </w:tc>
        <w:tc>
          <w:tcPr>
            <w:tcW w:w="1840" w:type="dxa"/>
            <w:vAlign w:val="bottom"/>
            <w:gridSpan w:val="3"/>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 Consolidated</w:t>
            </w:r>
          </w:p>
        </w:tc>
        <w:tc>
          <w:tcPr>
            <w:tcW w:w="1180" w:type="dxa"/>
            <w:vAlign w:val="bottom"/>
          </w:tcPr>
          <w:p>
            <w:pPr>
              <w:jc w:val="center"/>
              <w:ind w:right="35"/>
              <w:spacing w:after="0" w:line="158" w:lineRule="exact"/>
              <w:rPr>
                <w:sz w:val="20"/>
                <w:szCs w:val="20"/>
                <w:color w:val="auto"/>
              </w:rPr>
            </w:pPr>
            <w:r>
              <w:rPr>
                <w:rFonts w:ascii="Arial" w:cs="Arial" w:eastAsia="Arial" w:hAnsi="Arial"/>
                <w:sz w:val="16"/>
                <w:szCs w:val="16"/>
                <w:b w:val="1"/>
                <w:bCs w:val="1"/>
                <w:color w:val="auto"/>
                <w:w w:val="97"/>
              </w:rPr>
              <w:t>F/X Impact 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Revenue</w:t>
            </w:r>
          </w:p>
        </w:tc>
        <w:tc>
          <w:tcPr>
            <w:tcW w:w="1860" w:type="dxa"/>
            <w:vAlign w:val="bottom"/>
            <w:gridSpan w:val="3"/>
          </w:tcPr>
          <w:p>
            <w:pPr>
              <w:jc w:val="center"/>
              <w:ind w:right="220"/>
              <w:spacing w:after="0" w:line="158" w:lineRule="exact"/>
              <w:rPr>
                <w:sz w:val="20"/>
                <w:szCs w:val="20"/>
                <w:color w:val="auto"/>
              </w:rPr>
            </w:pPr>
            <w:r>
              <w:rPr>
                <w:rFonts w:ascii="Arial" w:cs="Arial" w:eastAsia="Arial" w:hAnsi="Arial"/>
                <w:sz w:val="16"/>
                <w:szCs w:val="16"/>
                <w:b w:val="1"/>
                <w:bCs w:val="1"/>
                <w:color w:val="auto"/>
                <w:w w:val="93"/>
              </w:rPr>
              <w:t>% Consolidated</w:t>
            </w:r>
          </w:p>
        </w:tc>
        <w:tc>
          <w:tcPr>
            <w:tcW w:w="1180" w:type="dxa"/>
            <w:vAlign w:val="bottom"/>
          </w:tcPr>
          <w:p>
            <w:pPr>
              <w:jc w:val="right"/>
              <w:ind w:right="55"/>
              <w:spacing w:after="0" w:line="158" w:lineRule="exact"/>
              <w:rPr>
                <w:sz w:val="20"/>
                <w:szCs w:val="20"/>
                <w:color w:val="auto"/>
              </w:rPr>
            </w:pPr>
            <w:r>
              <w:rPr>
                <w:rFonts w:ascii="Arial" w:cs="Arial" w:eastAsia="Arial" w:hAnsi="Arial"/>
                <w:sz w:val="16"/>
                <w:szCs w:val="16"/>
                <w:b w:val="1"/>
                <w:bCs w:val="1"/>
                <w:color w:val="auto"/>
                <w:w w:val="97"/>
              </w:rPr>
              <w:t>F/X Impact 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Revenue</w:t>
            </w: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Revenue</w:t>
            </w: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180" w:type="dxa"/>
            <w:vAlign w:val="bottom"/>
          </w:tcPr>
          <w:p>
            <w:pPr>
              <w:jc w:val="right"/>
              <w:ind w:right="275"/>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British Pound Sterling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840" w:type="dxa"/>
            <w:vAlign w:val="bottom"/>
            <w:gridSpan w:val="3"/>
          </w:tcPr>
          <w:p>
            <w:pPr>
              <w:ind w:left="1300"/>
              <w:spacing w:after="0"/>
              <w:rPr>
                <w:sz w:val="20"/>
                <w:szCs w:val="20"/>
                <w:color w:val="auto"/>
              </w:rPr>
            </w:pPr>
            <w:r>
              <w:rPr>
                <w:rFonts w:ascii="Arial" w:cs="Arial" w:eastAsia="Arial" w:hAnsi="Arial"/>
                <w:sz w:val="18"/>
                <w:szCs w:val="18"/>
                <w:color w:val="auto"/>
              </w:rPr>
              <w:t>8 %  $</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860" w:type="dxa"/>
            <w:vAlign w:val="bottom"/>
            <w:gridSpan w:val="3"/>
          </w:tcPr>
          <w:p>
            <w:pPr>
              <w:ind w:left="1320"/>
              <w:spacing w:after="0"/>
              <w:rPr>
                <w:sz w:val="20"/>
                <w:szCs w:val="20"/>
                <w:color w:val="auto"/>
              </w:rPr>
            </w:pPr>
            <w:r>
              <w:rPr>
                <w:rFonts w:ascii="Arial" w:cs="Arial" w:eastAsia="Arial" w:hAnsi="Arial"/>
                <w:sz w:val="18"/>
                <w:szCs w:val="18"/>
                <w:color w:val="auto"/>
              </w:rPr>
              <w:t>6 %  $</w:t>
            </w: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0"/>
              </w:rPr>
              <w:t>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0"/>
              </w:rPr>
              <w:t>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4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$13 million or 1% increase in revenue for the period is primarily due to higher Lottery systems revenue, coupled with growth in the Sports Betting business due to higher license revenue from key customer renewals and growth in the U.S. market. Net income from discontinued operations, net of tax increased by $41 million or 19% due to 2019 reflecting $50 million in higher tax expense as a result of the exception provision within ASC 740-20-45-7 (see Note 19) coupled with the higher revenues as described above.</w:t>
      </w:r>
    </w:p>
    <w:p>
      <w:pPr>
        <w:spacing w:after="0" w:line="11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See “Business Segments Results” below for a more detailed explanation of the significant changes in our components of revenue within the individual segment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w:t>
      </w:r>
    </w:p>
    <w:p>
      <w:pPr>
        <w:spacing w:after="0" w:line="148"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The types of products and services from which our segments derive their revenues are further discussed in Notes 3 and 4. Certain financial information relating to our segments, including segment revenue, AEBITDA and total assets and certain financial information relating to our revenue derived from and assets located in the U.S. and other geographic areas is included in Note 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w:t>
      </w:r>
    </w:p>
    <w:p>
      <w:pPr>
        <w:spacing w:after="0" w:line="16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and government agencies and their affiliated operators.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The following table summarizes the primary business activities included in our Gaming business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4400" w:type="dxa"/>
            <w:vAlign w:val="bottom"/>
            <w:gridSpan w:val="2"/>
          </w:tcPr>
          <w:p>
            <w:pPr>
              <w:ind w:left="1820"/>
              <w:spacing w:after="0"/>
              <w:rPr>
                <w:sz w:val="20"/>
                <w:szCs w:val="20"/>
                <w:color w:val="auto"/>
              </w:rPr>
            </w:pPr>
            <w:r>
              <w:rPr>
                <w:rFonts w:ascii="Arial" w:cs="Arial" w:eastAsia="Arial" w:hAnsi="Arial"/>
                <w:sz w:val="16"/>
                <w:szCs w:val="16"/>
                <w:b w:val="1"/>
                <w:bCs w:val="1"/>
                <w:color w:val="auto"/>
              </w:rPr>
              <w:t>Services</w:t>
            </w:r>
          </w:p>
        </w:tc>
        <w:tc>
          <w:tcPr>
            <w:tcW w:w="4140" w:type="dxa"/>
            <w:vAlign w:val="bottom"/>
          </w:tcPr>
          <w:p>
            <w:pPr>
              <w:ind w:left="1600"/>
              <w:spacing w:after="0"/>
              <w:rPr>
                <w:sz w:val="20"/>
                <w:szCs w:val="20"/>
                <w:color w:val="auto"/>
              </w:rPr>
            </w:pPr>
            <w:r>
              <w:rPr>
                <w:rFonts w:ascii="Arial" w:cs="Arial" w:eastAsia="Arial" w:hAnsi="Arial"/>
                <w:sz w:val="16"/>
                <w:szCs w:val="16"/>
                <w:b w:val="1"/>
                <w:bCs w:val="1"/>
                <w:color w:val="auto"/>
              </w:rPr>
              <w:t>Product sales</w:t>
            </w:r>
          </w:p>
        </w:tc>
      </w:tr>
      <w:tr>
        <w:trPr>
          <w:trHeight w:val="172"/>
        </w:trPr>
        <w:tc>
          <w:tcPr>
            <w:tcW w:w="270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Gaming operations</w:t>
            </w:r>
          </w:p>
        </w:tc>
        <w:tc>
          <w:tcPr>
            <w:tcW w:w="420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w w:val="97"/>
              </w:rPr>
              <w:t>Service revenues from gaming operations are derived</w:t>
            </w:r>
          </w:p>
        </w:tc>
        <w:tc>
          <w:tcPr>
            <w:tcW w:w="200" w:type="dxa"/>
            <w:vAlign w:val="bottom"/>
            <w:tcBorders>
              <w:top w:val="single" w:sz="8" w:color="CCEEFF"/>
            </w:tcBorders>
            <w:shd w:val="clear" w:color="auto" w:fill="CCEEFF"/>
          </w:tcPr>
          <w:p>
            <w:pPr>
              <w:spacing w:after="0"/>
              <w:rPr>
                <w:sz w:val="14"/>
                <w:szCs w:val="14"/>
                <w:color w:val="auto"/>
              </w:rPr>
            </w:pPr>
          </w:p>
        </w:tc>
        <w:tc>
          <w:tcPr>
            <w:tcW w:w="414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N/A</w:t>
            </w:r>
          </w:p>
        </w:tc>
      </w:tr>
      <w:tr>
        <w:trPr>
          <w:trHeight w:val="176"/>
        </w:trPr>
        <w:tc>
          <w:tcPr>
            <w:tcW w:w="270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from WAP, premium and daily-fee Participation gaming</w:t>
            </w:r>
          </w:p>
        </w:tc>
        <w:tc>
          <w:tcPr>
            <w:tcW w:w="4140" w:type="dxa"/>
            <w:vAlign w:val="bottom"/>
            <w:shd w:val="clear" w:color="auto" w:fill="CCEEFF"/>
          </w:tcPr>
          <w:p>
            <w:pPr>
              <w:spacing w:after="0"/>
              <w:rPr>
                <w:sz w:val="15"/>
                <w:szCs w:val="15"/>
                <w:color w:val="auto"/>
              </w:rPr>
            </w:pPr>
          </w:p>
        </w:tc>
      </w:tr>
      <w:tr>
        <w:trPr>
          <w:trHeight w:val="175"/>
        </w:trPr>
        <w:tc>
          <w:tcPr>
            <w:tcW w:w="270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machines and other leased gaming machines (including</w:t>
            </w:r>
          </w:p>
        </w:tc>
        <w:tc>
          <w:tcPr>
            <w:tcW w:w="4140" w:type="dxa"/>
            <w:vAlign w:val="bottom"/>
            <w:shd w:val="clear" w:color="auto" w:fill="CCEEFF"/>
          </w:tcPr>
          <w:p>
            <w:pPr>
              <w:spacing w:after="0"/>
              <w:rPr>
                <w:sz w:val="15"/>
                <w:szCs w:val="15"/>
                <w:color w:val="auto"/>
              </w:rPr>
            </w:pPr>
          </w:p>
        </w:tc>
      </w:tr>
      <w:tr>
        <w:trPr>
          <w:trHeight w:val="229"/>
        </w:trPr>
        <w:tc>
          <w:tcPr>
            <w:tcW w:w="27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VLTs and ETSs) and licensing arrangements.</w:t>
            </w:r>
          </w:p>
        </w:tc>
        <w:tc>
          <w:tcPr>
            <w:tcW w:w="4140" w:type="dxa"/>
            <w:vAlign w:val="bottom"/>
            <w:shd w:val="clear" w:color="auto" w:fill="CCEEFF"/>
          </w:tcPr>
          <w:p>
            <w:pPr>
              <w:spacing w:after="0"/>
              <w:rPr>
                <w:sz w:val="19"/>
                <w:szCs w:val="19"/>
                <w:color w:val="auto"/>
              </w:rPr>
            </w:pP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Gaming machine sales</w:t>
            </w:r>
          </w:p>
        </w:tc>
        <w:tc>
          <w:tcPr>
            <w:tcW w:w="44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N/A</w:t>
            </w:r>
          </w:p>
        </w:tc>
        <w:tc>
          <w:tcPr>
            <w:tcW w:w="4140" w:type="dxa"/>
            <w:vAlign w:val="bottom"/>
          </w:tcPr>
          <w:p>
            <w:pPr>
              <w:ind w:left="20"/>
              <w:spacing w:after="0" w:line="176" w:lineRule="exact"/>
              <w:rPr>
                <w:sz w:val="20"/>
                <w:szCs w:val="20"/>
                <w:color w:val="auto"/>
              </w:rPr>
            </w:pPr>
            <w:r>
              <w:rPr>
                <w:rFonts w:ascii="Arial" w:cs="Arial" w:eastAsia="Arial" w:hAnsi="Arial"/>
                <w:sz w:val="18"/>
                <w:szCs w:val="18"/>
                <w:color w:val="auto"/>
                <w:w w:val="89"/>
              </w:rPr>
              <w:t>Sale of new and used gaming machines, ETSs and VLTs,</w:t>
            </w:r>
          </w:p>
        </w:tc>
      </w:tr>
      <w:tr>
        <w:trPr>
          <w:trHeight w:val="229"/>
        </w:trPr>
        <w:tc>
          <w:tcPr>
            <w:tcW w:w="27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conversion game kits and spare parts.</w:t>
            </w:r>
          </w:p>
        </w:tc>
      </w:tr>
      <w:tr>
        <w:trPr>
          <w:trHeight w:val="176"/>
        </w:trPr>
        <w:tc>
          <w:tcPr>
            <w:tcW w:w="2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Gaming systems</w:t>
            </w:r>
          </w:p>
        </w:tc>
        <w:tc>
          <w:tcPr>
            <w:tcW w:w="4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We provide services which include installation and</w:t>
            </w:r>
          </w:p>
        </w:tc>
        <w:tc>
          <w:tcPr>
            <w:tcW w:w="4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 offer CMSs that help our customers improve</w:t>
            </w:r>
          </w:p>
        </w:tc>
      </w:tr>
      <w:tr>
        <w:trPr>
          <w:trHeight w:val="176"/>
        </w:trPr>
        <w:tc>
          <w:tcPr>
            <w:tcW w:w="270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support of CMSs, including ongoing hardware</w:t>
            </w:r>
          </w:p>
        </w:tc>
        <w:tc>
          <w:tcPr>
            <w:tcW w:w="4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communication with players, add excitement to the</w:t>
            </w:r>
          </w:p>
        </w:tc>
      </w:tr>
      <w:tr>
        <w:trPr>
          <w:trHeight w:val="175"/>
        </w:trPr>
        <w:tc>
          <w:tcPr>
            <w:tcW w:w="270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maintenance and ongoing software maintenance and</w:t>
            </w:r>
          </w:p>
        </w:tc>
        <w:tc>
          <w:tcPr>
            <w:tcW w:w="4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gaming floor and enhance operating efficiencies.</w:t>
            </w:r>
          </w:p>
        </w:tc>
      </w:tr>
      <w:tr>
        <w:trPr>
          <w:trHeight w:val="230"/>
        </w:trPr>
        <w:tc>
          <w:tcPr>
            <w:tcW w:w="27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upgrade services of customer CMSs.</w:t>
            </w:r>
          </w:p>
        </w:tc>
        <w:tc>
          <w:tcPr>
            <w:tcW w:w="414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895" w:right="339" w:bottom="1440" w:gutter="0" w:footer="0" w:header="0"/>
        </w:sectPr>
      </w:pPr>
    </w:p>
    <w:p>
      <w:pPr>
        <w:ind w:left="20"/>
        <w:spacing w:after="0"/>
        <w:tabs>
          <w:tab w:leader="none" w:pos="2700" w:val="left"/>
        </w:tabs>
        <w:rPr>
          <w:sz w:val="20"/>
          <w:szCs w:val="20"/>
          <w:color w:val="auto"/>
        </w:rPr>
      </w:pPr>
      <w:r>
        <w:rPr>
          <w:rFonts w:ascii="Arial" w:cs="Arial" w:eastAsia="Arial" w:hAnsi="Arial"/>
          <w:sz w:val="18"/>
          <w:szCs w:val="18"/>
          <w:color w:val="auto"/>
        </w:rPr>
        <w:t>Table products</w:t>
      </w:r>
      <w:r>
        <w:rPr>
          <w:sz w:val="20"/>
          <w:szCs w:val="20"/>
          <w:color w:val="auto"/>
        </w:rPr>
        <w:tab/>
      </w:r>
      <w:r>
        <w:rPr>
          <w:rFonts w:ascii="Arial" w:cs="Arial" w:eastAsia="Arial" w:hAnsi="Arial"/>
          <w:sz w:val="16"/>
          <w:szCs w:val="16"/>
          <w:color w:val="auto"/>
        </w:rPr>
        <w:t>Revenue is generated from supplied table products and</w:t>
      </w:r>
    </w:p>
    <w:p>
      <w:pPr>
        <w:ind w:left="2720"/>
        <w:spacing w:after="0"/>
        <w:rPr>
          <w:sz w:val="20"/>
          <w:szCs w:val="20"/>
          <w:color w:val="auto"/>
        </w:rPr>
      </w:pPr>
      <w:r>
        <w:rPr>
          <w:rFonts w:ascii="Arial" w:cs="Arial" w:eastAsia="Arial" w:hAnsi="Arial"/>
          <w:sz w:val="18"/>
          <w:szCs w:val="18"/>
          <w:color w:val="auto"/>
        </w:rPr>
        <w:t>services (including Shufflers).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Operations</w:t>
      </w:r>
    </w:p>
    <w:p>
      <w:pPr>
        <w:spacing w:after="0" w:line="20" w:lineRule="exact"/>
        <w:rPr>
          <w:sz w:val="20"/>
          <w:szCs w:val="20"/>
          <w:color w:val="auto"/>
        </w:rPr>
      </w:pPr>
      <w:r>
        <w:rPr>
          <w:sz w:val="20"/>
          <w:szCs w:val="20"/>
          <w:color w:val="auto"/>
        </w:rPr>
        <w:br w:type="column"/>
      </w:r>
    </w:p>
    <w:p>
      <w:pPr>
        <w:ind w:right="320"/>
        <w:spacing w:after="0" w:line="234" w:lineRule="auto"/>
        <w:rPr>
          <w:sz w:val="20"/>
          <w:szCs w:val="20"/>
          <w:color w:val="auto"/>
        </w:rPr>
      </w:pPr>
      <w:r>
        <w:rPr>
          <w:rFonts w:ascii="Arial" w:cs="Arial" w:eastAsia="Arial" w:hAnsi="Arial"/>
          <w:sz w:val="18"/>
          <w:szCs w:val="18"/>
          <w:color w:val="auto"/>
        </w:rPr>
        <w:t>Sale of table products (including Shufflers) and PTG licensing.</w:t>
      </w:r>
    </w:p>
    <w:p>
      <w:pPr>
        <w:spacing w:after="0" w:line="581" w:lineRule="exact"/>
        <w:rPr>
          <w:sz w:val="20"/>
          <w:szCs w:val="20"/>
          <w:color w:val="auto"/>
        </w:rPr>
      </w:pPr>
    </w:p>
    <w:p>
      <w:pPr>
        <w:sectPr>
          <w:pgSz w:w="11900" w:h="16838" w:orient="portrait"/>
          <w:cols w:equalWidth="0" w:num="2">
            <w:col w:w="6660" w:space="460"/>
            <w:col w:w="4120"/>
          </w:cols>
          <w:pgMar w:left="320" w:top="895" w:right="339" w:bottom="1440" w:gutter="0" w:footer="0" w:header="0"/>
          <w:type w:val="continuous"/>
        </w:sectPr>
      </w:pPr>
    </w:p>
    <w:p>
      <w:pPr>
        <w:ind w:right="20" w:firstLine="648"/>
        <w:spacing w:after="0" w:line="263" w:lineRule="auto"/>
        <w:rPr>
          <w:sz w:val="20"/>
          <w:szCs w:val="20"/>
          <w:color w:val="auto"/>
        </w:rPr>
      </w:pPr>
      <w:r>
        <w:rPr>
          <w:rFonts w:ascii="Arial" w:cs="Arial" w:eastAsia="Arial" w:hAnsi="Arial"/>
          <w:sz w:val="18"/>
          <w:szCs w:val="18"/>
          <w:color w:val="auto"/>
        </w:rPr>
        <w:t>Our services revenue includes revenue earned from Participation games, other gaming machine services and table product service arrangements. We categorize our Participation gaming machines as (1) U.S. and Canada units and (2) International units. The following are different types of Participation games from which we derive our revenue:</w:t>
      </w:r>
    </w:p>
    <w:p>
      <w:pPr>
        <w:spacing w:after="0" w:line="103" w:lineRule="exact"/>
        <w:rPr>
          <w:sz w:val="20"/>
          <w:szCs w:val="20"/>
          <w:color w:val="auto"/>
        </w:rPr>
      </w:pPr>
    </w:p>
    <w:p>
      <w:pPr>
        <w:ind w:left="660" w:right="140" w:hanging="328"/>
        <w:spacing w:after="0" w:line="255" w:lineRule="auto"/>
        <w:tabs>
          <w:tab w:leader="none" w:pos="65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WAP Participation games: </w:t>
      </w:r>
      <w:r>
        <w:rPr>
          <w:rFonts w:ascii="Arial" w:cs="Arial" w:eastAsia="Arial" w:hAnsi="Arial"/>
          <w:sz w:val="18"/>
          <w:szCs w:val="18"/>
          <w:color w:val="auto"/>
        </w:rPr>
        <w:t>WAP Participation games are electronically linked gaming machines that are located across multiple casinos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both single and multiple gaming jurisdictions or across Native American gaming jurisdictions. Players across linked gaming machines contribute to and compete for system-wide progressive jackpots that are designed to increase gaming machine play for participating casinos by giving the players the opportunity to win a larger jackpot than on a non-WAP gaming machine. We are responsible for funding WAP jackpots. We create WAP games using our proprietary brands and also using licensed brands. We operate our WAP systems in five states throughout the U.S. and in certain Native American casinos.</w:t>
      </w:r>
    </w:p>
    <w:p>
      <w:pPr>
        <w:spacing w:after="0" w:line="124" w:lineRule="exact"/>
        <w:rPr>
          <w:rFonts w:ascii="Arial" w:cs="Arial" w:eastAsia="Arial" w:hAnsi="Arial"/>
          <w:sz w:val="18"/>
          <w:szCs w:val="18"/>
          <w:i w:val="1"/>
          <w:iCs w:val="1"/>
          <w:color w:val="auto"/>
        </w:rPr>
      </w:pPr>
    </w:p>
    <w:p>
      <w:pPr>
        <w:ind w:left="660" w:right="20" w:hanging="328"/>
        <w:spacing w:after="0" w:line="245"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Premium and daily fee Participation games: </w:t>
      </w:r>
      <w:r>
        <w:rPr>
          <w:rFonts w:ascii="Arial" w:cs="Arial" w:eastAsia="Arial" w:hAnsi="Arial"/>
          <w:sz w:val="17"/>
          <w:szCs w:val="17"/>
          <w:color w:val="auto"/>
        </w:rPr>
        <w:t>We offer two categories of non-WAP premium and daily fee Participation games: LAP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standalone. LAP games are gaming machines that are located within a single casino and are electronically linked to a progressive jackpot for that specific casino. Our LAP gaming machines feature games including those offered as WAP and our proprietary brands such as </w:t>
      </w:r>
      <w:r>
        <w:rPr>
          <w:rFonts w:ascii="Arial" w:cs="Arial" w:eastAsia="Arial" w:hAnsi="Arial"/>
          <w:sz w:val="17"/>
          <w:szCs w:val="17"/>
          <w:i w:val="1"/>
          <w:iCs w:val="1"/>
          <w:color w:val="auto"/>
        </w:rPr>
        <w:t>Ultimate Fire Link</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Dragon Spin</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Ultra Hot Mega Link</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88 Fortunes</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Invaders from the Planet Moolah</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5 Treasures</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Cash Spin</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and Dancing Drums Explosion</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Our LAP products leverage both exclusive brand names and game play intellectual property, and typically offer players the chance to</w:t>
      </w:r>
      <w:r>
        <w:rPr>
          <w:rFonts w:ascii="Arial" w:cs="Arial" w:eastAsia="Arial" w:hAnsi="Arial"/>
          <w:sz w:val="17"/>
          <w:szCs w:val="17"/>
          <w:i w:val="1"/>
          <w:iCs w:val="1"/>
          <w:color w:val="auto"/>
        </w:rPr>
        <w:t xml:space="preserve"> </w:t>
      </w:r>
      <w:r>
        <w:rPr>
          <w:rFonts w:ascii="Arial" w:cs="Arial" w:eastAsia="Arial" w:hAnsi="Arial"/>
          <w:sz w:val="17"/>
          <w:szCs w:val="17"/>
          <w:color w:val="auto"/>
        </w:rPr>
        <w:t>win multiple progressive jackpots, all of which tend to result in higher play volumes. We also provide certain standalone Participation games that are not linked to other gaming machines. Our standalone games feature titles under both licensed brands and our proprietary brands. Our standalone Participation gaming machines generally feature larger, more elaborate top-boxes and provide game play experiences not possible on a single screen game or on gaming machines that we sell.</w:t>
      </w:r>
    </w:p>
    <w:p>
      <w:pPr>
        <w:spacing w:after="0" w:line="132" w:lineRule="exact"/>
        <w:rPr>
          <w:rFonts w:ascii="Arial" w:cs="Arial" w:eastAsia="Arial" w:hAnsi="Arial"/>
          <w:sz w:val="17"/>
          <w:szCs w:val="17"/>
          <w:color w:val="auto"/>
        </w:rPr>
      </w:pPr>
    </w:p>
    <w:p>
      <w:pPr>
        <w:ind w:left="660" w:right="140" w:hanging="247"/>
        <w:spacing w:after="0" w:line="275" w:lineRule="auto"/>
        <w:tabs>
          <w:tab w:leader="none" w:pos="655" w:val="left"/>
        </w:tabs>
        <w:numPr>
          <w:ilvl w:val="1"/>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Server-based gaming</w:t>
      </w:r>
      <w:r>
        <w:rPr>
          <w:rFonts w:ascii="Arial" w:cs="Arial" w:eastAsia="Arial" w:hAnsi="Arial"/>
          <w:sz w:val="17"/>
          <w:szCs w:val="17"/>
          <w:color w:val="auto"/>
        </w:rPr>
        <w:t>: We provide wide-area gaming operators, such as LBOs, bingo halls and arcades, a comprehensive package of server-based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services under long term contracts that typically include gaming machines, remote management of game content and management information, central computer systems, secure data communication and field support services. We are typically paid a fee based on the Net win generated by these gaming machines (subject to certain adjustments as may be specified in a particular contract, including adjustments for taxes and other fees). Our business in this category is primarily based in the U.K.</w:t>
      </w:r>
    </w:p>
    <w:p>
      <w:pPr>
        <w:spacing w:after="0" w:line="95" w:lineRule="exact"/>
        <w:rPr>
          <w:rFonts w:ascii="Arial" w:cs="Arial" w:eastAsia="Arial" w:hAnsi="Arial"/>
          <w:sz w:val="17"/>
          <w:szCs w:val="17"/>
          <w:i w:val="1"/>
          <w:iCs w:val="1"/>
          <w:color w:val="auto"/>
        </w:rPr>
      </w:pPr>
    </w:p>
    <w:p>
      <w:pPr>
        <w:ind w:left="660" w:right="180" w:hanging="247"/>
        <w:spacing w:after="0" w:line="259" w:lineRule="auto"/>
        <w:tabs>
          <w:tab w:leader="none" w:pos="655" w:val="left"/>
        </w:tabs>
        <w:numPr>
          <w:ilvl w:val="1"/>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VLTs</w:t>
      </w:r>
      <w:r>
        <w:rPr>
          <w:rFonts w:ascii="Arial" w:cs="Arial" w:eastAsia="Arial" w:hAnsi="Arial"/>
          <w:sz w:val="18"/>
          <w:szCs w:val="18"/>
          <w:color w:val="auto"/>
        </w:rPr>
        <w:t>: For certain customers, we provide our multi-game and single-game VLTs, which include video gaming machines, mechanical reel gaming</w:t>
      </w:r>
      <w:r>
        <w:rPr>
          <w:rFonts w:ascii="Arial" w:cs="Arial" w:eastAsia="Arial" w:hAnsi="Arial"/>
          <w:sz w:val="18"/>
          <w:szCs w:val="18"/>
          <w:i w:val="1"/>
          <w:iCs w:val="1"/>
          <w:color w:val="auto"/>
        </w:rPr>
        <w:t xml:space="preserve"> </w:t>
      </w:r>
      <w:r>
        <w:rPr>
          <w:rFonts w:ascii="Arial" w:cs="Arial" w:eastAsia="Arial" w:hAnsi="Arial"/>
          <w:sz w:val="18"/>
          <w:szCs w:val="18"/>
          <w:color w:val="auto"/>
        </w:rPr>
        <w:t>machines and video poker games. Our VLTs may be operated as standalone units or may interface with central monitoring systems operated by government agencies. Our VLTs are typically located in places where casino-style gaming is not the only attraction, such as racetracks, bars and restaurants.</w:t>
      </w:r>
    </w:p>
    <w:p>
      <w:pPr>
        <w:spacing w:after="0" w:line="119" w:lineRule="exact"/>
        <w:rPr>
          <w:rFonts w:ascii="Arial" w:cs="Arial" w:eastAsia="Arial" w:hAnsi="Arial"/>
          <w:sz w:val="18"/>
          <w:szCs w:val="18"/>
          <w:i w:val="1"/>
          <w:iCs w:val="1"/>
          <w:color w:val="auto"/>
        </w:rPr>
      </w:pPr>
    </w:p>
    <w:p>
      <w:pPr>
        <w:ind w:left="660" w:right="80" w:hanging="247"/>
        <w:spacing w:after="0" w:line="259" w:lineRule="auto"/>
        <w:tabs>
          <w:tab w:leader="none" w:pos="655" w:val="left"/>
        </w:tabs>
        <w:numPr>
          <w:ilvl w:val="1"/>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Class II and centrally determined systems: </w:t>
      </w:r>
      <w:r>
        <w:rPr>
          <w:rFonts w:ascii="Arial" w:cs="Arial" w:eastAsia="Arial" w:hAnsi="Arial"/>
          <w:sz w:val="18"/>
          <w:szCs w:val="18"/>
          <w:color w:val="auto"/>
        </w:rPr>
        <w:t>We offer video and mechanical-reel gaming machines and VLTs for Class II and certain VLT</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where the game outcome is determined by a central server system that we provide. These Class II and centrally determined systems primarily operate in Native American casinos in Washington, Florida, Alabama and Oklahoma. We receive either a fixed daily fee or a percentage of the Net win generated by the gaming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62" w:name="page63"/>
    <w:bookmarkEnd w:id="62"/>
    <w:p>
      <w:pPr>
        <w:ind w:right="1680" w:firstLine="648"/>
        <w:spacing w:after="0" w:line="414" w:lineRule="auto"/>
        <w:rPr>
          <w:sz w:val="20"/>
          <w:szCs w:val="20"/>
          <w:color w:val="auto"/>
        </w:rPr>
      </w:pPr>
      <w:r>
        <w:rPr>
          <w:rFonts w:ascii="Arial" w:cs="Arial" w:eastAsia="Arial" w:hAnsi="Arial"/>
          <w:sz w:val="18"/>
          <w:szCs w:val="18"/>
          <w:color w:val="auto"/>
        </w:rPr>
        <w:t xml:space="preserve">machines or VLTs connected to the central determination system and a small daily fee for the central determination system. </w:t>
      </w:r>
      <w:r>
        <w:rPr>
          <w:rFonts w:ascii="Arial" w:cs="Arial" w:eastAsia="Arial" w:hAnsi="Arial"/>
          <w:sz w:val="18"/>
          <w:szCs w:val="18"/>
          <w:i w:val="1"/>
          <w:iCs w:val="1"/>
          <w:color w:val="auto"/>
        </w:rPr>
        <w:t>Gaming Machine Sales</w:t>
      </w:r>
    </w:p>
    <w:p>
      <w:pPr>
        <w:spacing w:after="0" w:line="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majority of our product sales are derived from sales of gaming machines and VLTs that use a combination of advanced graphics, mechanical reels, digital music and sounds and secondary bonus games. We also sell ETSs to either meet the needs of particular locations where live tables are not allowed or as productivity-enhancing solutions for other jurisdictions.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Systems</w:t>
      </w:r>
    </w:p>
    <w:p>
      <w:pPr>
        <w:spacing w:after="0" w:line="158"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 xml:space="preserve">Our comprehensive suite of technology solutions provides gaming operations of every size with a wide range of marketing, data management and analysis, accounting, player tracking, security and other applications and tools to more effectively manage their operations. Gaming systems products include the </w:t>
      </w:r>
      <w:r>
        <w:rPr>
          <w:rFonts w:ascii="Arial" w:cs="Arial" w:eastAsia="Arial" w:hAnsi="Arial"/>
          <w:sz w:val="18"/>
          <w:szCs w:val="18"/>
          <w:i w:val="1"/>
          <w:iCs w:val="1"/>
          <w:color w:val="auto"/>
        </w:rPr>
        <w:t>iVIEW</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touch screen display, which facilitates the player experience, bonus features, customer service, and employee functions. Gaming systems revenues related to core system solutions are highly dependent on new installations. Gaming system revenues are also generated through ongoing hardware and software maintenance services and upgrades.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Products</w:t>
      </w:r>
    </w:p>
    <w:p>
      <w:pPr>
        <w:spacing w:after="0" w:line="15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table product sales are generated primarily from the sale of products designed to enhance table game speed, productivity, profitability and security. Our product offerings include various models of Shufflers to suit specific games.</w:t>
      </w:r>
    </w:p>
    <w:p>
      <w:pPr>
        <w:spacing w:after="0" w:line="103"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We also offer Shuffler products under month-to-month arrangements that primarily contain fixed monthly rates or to a lesser extent Participation rates. These arrangements include service of the product with back-up and replacement products available at the customer’s request.</w:t>
      </w:r>
    </w:p>
    <w:p>
      <w:pPr>
        <w:spacing w:after="0" w:line="6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license our PTG content to commercial, tribal and governmental casino operators typically under month to month arrangements based on fixed monthly rates or subscription arrangements to our PTG content library. PTGs, which are designed to enhance operators’ table-game operations, include our internally developed and acquired PTGs, side bets, add-ons and progressive features. Our proprietary content and features are also added to public domain games such as poker, baccarat, pai gow poker, craps and blackjack table games and to electronic platforms</w:t>
      </w:r>
      <w:r>
        <w:rPr>
          <w:rFonts w:ascii="Arial" w:cs="Arial" w:eastAsia="Arial" w:hAnsi="Arial"/>
          <w:sz w:val="17"/>
          <w:szCs w:val="17"/>
          <w:i w:val="1"/>
          <w:iCs w:val="1"/>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 update</w:t>
      </w:r>
    </w:p>
    <w:p>
      <w:pPr>
        <w:spacing w:after="0" w:line="15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See the “</w:t>
      </w:r>
      <w:r>
        <w:rPr>
          <w:rFonts w:ascii="Arial" w:cs="Arial" w:eastAsia="Arial" w:hAnsi="Arial"/>
          <w:sz w:val="16"/>
          <w:szCs w:val="16"/>
          <w:i w:val="1"/>
          <w:iCs w:val="1"/>
          <w:color w:val="auto"/>
        </w:rPr>
        <w:t>Business Overview – Highlights, including recent developments – Impacts of COVID-19 on Business Operations, Financial Results and</w:t>
      </w:r>
      <w:r>
        <w:rPr>
          <w:rFonts w:ascii="Arial" w:cs="Arial" w:eastAsia="Arial" w:hAnsi="Arial"/>
          <w:sz w:val="16"/>
          <w:szCs w:val="16"/>
          <w:color w:val="auto"/>
        </w:rPr>
        <w:t xml:space="preserve"> </w:t>
      </w:r>
      <w:r>
        <w:rPr>
          <w:rFonts w:ascii="Arial" w:cs="Arial" w:eastAsia="Arial" w:hAnsi="Arial"/>
          <w:sz w:val="16"/>
          <w:szCs w:val="16"/>
          <w:i w:val="1"/>
          <w:iCs w:val="1"/>
          <w:color w:val="auto"/>
        </w:rPr>
        <w:t>Liquidity</w:t>
      </w:r>
      <w:r>
        <w:rPr>
          <w:rFonts w:ascii="Arial" w:cs="Arial" w:eastAsia="Arial" w:hAnsi="Arial"/>
          <w:sz w:val="16"/>
          <w:szCs w:val="16"/>
          <w:color w:val="auto"/>
        </w:rPr>
        <w:t>” section above for a description of the COVID-19 impact on our Gaming business segment, which had an adverse effect on our results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cash flows in 2020 and, to a lesser extent, continuing into 2021. Our results of operations and cash flows are recovering as social distancing measures (including reduced floor capacities, table play customer limitations and reduction of slot machines available for play) have generally been rolled back, however some measures have been extended or reimposed as infections increase due to the new virus variants. We are starting to see an increase in the demand for our Gaming products as the easing of restrictions continues and gaming operators are beginning to return to pre-COVID levels. Particularly, we are seeing strong demand and orders, however we are experiencing some supply chain challenges that could impact our ability to meet demand for our products and delay the timing of fulfillment of these orders and consequently the timing of revenue recognition. Additionally, we noted that the U.S. and U.K. markets have rebounded which has had a notable impact on our Gaming operations primarily due to the lifting of restrictions and further elevated by consumer pent up demand from prior periods resulting in higher gross gaming revenues.</w:t>
      </w:r>
    </w:p>
    <w:p>
      <w:pPr>
        <w:spacing w:after="0" w:line="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Gaming operations installed base at period end increased for U.S. and Canada from 30,105 in 2020 to 30,514 in 2021 as a result of COVID-19 disruptions in the prior year and current year recovery. Alternatively, International ending installed base units decreased from 32,061 in 2020 to 29,375 in 2021 due to the closure of certain LBOs in the U.K. that haven’t yet recovered from the pandemic along with the reduction of some underperforming units in Greece and Latin America.</w:t>
      </w:r>
    </w:p>
    <w:p>
      <w:pPr>
        <w:spacing w:after="0" w:line="119" w:lineRule="exact"/>
        <w:rPr>
          <w:sz w:val="20"/>
          <w:szCs w:val="20"/>
          <w:color w:val="auto"/>
        </w:rPr>
      </w:pPr>
    </w:p>
    <w:p>
      <w:pPr>
        <w:ind w:right="520" w:firstLine="648"/>
        <w:spacing w:after="0" w:line="286" w:lineRule="auto"/>
        <w:rPr>
          <w:sz w:val="20"/>
          <w:szCs w:val="20"/>
          <w:color w:val="auto"/>
        </w:rPr>
      </w:pPr>
      <w:r>
        <w:rPr>
          <w:rFonts w:ascii="Arial" w:cs="Arial" w:eastAsia="Arial" w:hAnsi="Arial"/>
          <w:sz w:val="17"/>
          <w:szCs w:val="17"/>
          <w:color w:val="auto"/>
        </w:rPr>
        <w:t>Our Gaming business segment leadership team has developed and implemented a strategy to reverse the declining install base trend in prior periods, which is starting to show positive results, but a meaningful reversal of this trend is expected to take longer than a year. Gaming operations generated 45%, 36% and 34% of total Gaming segment revenues for 2021, 2020 and 2019, respectively.</w:t>
      </w:r>
    </w:p>
    <w:p>
      <w:pPr>
        <w:spacing w:after="0" w:line="19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Additionally, our 2021 Gaming revenues benefited $44 million from a court ruling associated with overcharging of value-added tax for gaming operators in prior periods that consequently reduced our net gaming revenues related to these customers and arrangements.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3" w:name="page64"/>
    <w:bookmarkEnd w:id="63"/>
    <w:p>
      <w:pPr>
        <w:ind w:right="220" w:firstLine="648"/>
        <w:spacing w:after="0" w:line="236" w:lineRule="auto"/>
        <w:rPr>
          <w:sz w:val="20"/>
          <w:szCs w:val="20"/>
          <w:color w:val="auto"/>
        </w:rPr>
      </w:pPr>
      <w:r>
        <w:rPr>
          <w:rFonts w:ascii="Arial" w:cs="Arial" w:eastAsia="Arial" w:hAnsi="Arial"/>
          <w:sz w:val="18"/>
          <w:szCs w:val="18"/>
          <w:color w:val="auto"/>
        </w:rPr>
        <w:t>In October of 2021, we acquired ACS’s table game solution PlayOn</w:t>
      </w:r>
      <w:r>
        <w:rPr>
          <w:rFonts w:ascii="Arial" w:cs="Arial" w:eastAsia="Arial" w:hAnsi="Arial"/>
          <w:sz w:val="23"/>
          <w:szCs w:val="23"/>
          <w:color w:val="auto"/>
          <w:vertAlign w:val="superscript"/>
        </w:rPr>
        <w:t>TM</w:t>
      </w:r>
      <w:r>
        <w:rPr>
          <w:rFonts w:ascii="Arial" w:cs="Arial" w:eastAsia="Arial" w:hAnsi="Arial"/>
          <w:sz w:val="18"/>
          <w:szCs w:val="18"/>
          <w:color w:val="auto"/>
        </w:rPr>
        <w:t>, a cashless product line that provides players with a debit solution at live table games. PlayOn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was subsequently renamed AToM</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(see Note 10).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and Key Performance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100330</wp:posOffset>
            </wp:positionV>
            <wp:extent cx="5812155" cy="1937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1215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1 - The year ended December 31, 2019 includes $10 million in IP charges paid by the SciPlay business segment, which are no longer being paid as of May 7,</w:t>
      </w:r>
    </w:p>
    <w:p>
      <w:pPr>
        <w:ind w:left="1080"/>
        <w:spacing w:after="0"/>
        <w:rPr>
          <w:sz w:val="20"/>
          <w:szCs w:val="20"/>
          <w:color w:val="auto"/>
        </w:rPr>
      </w:pPr>
      <w:r>
        <w:rPr>
          <w:rFonts w:ascii="Arial" w:cs="Arial" w:eastAsia="Arial" w:hAnsi="Arial"/>
          <w:sz w:val="14"/>
          <w:szCs w:val="14"/>
          <w:color w:val="auto"/>
        </w:rPr>
        <w:t>2019 in connection with the IP License Agreement.</w:t>
      </w:r>
    </w:p>
    <w:p>
      <w:pPr>
        <w:spacing w:after="0" w:line="70" w:lineRule="exact"/>
        <w:rPr>
          <w:sz w:val="20"/>
          <w:szCs w:val="20"/>
          <w:color w:val="auto"/>
        </w:rPr>
      </w:pPr>
    </w:p>
    <w:p>
      <w:pPr>
        <w:ind w:left="1080" w:right="1140"/>
        <w:spacing w:after="0" w:line="218" w:lineRule="auto"/>
        <w:rPr>
          <w:sz w:val="20"/>
          <w:szCs w:val="20"/>
          <w:color w:val="auto"/>
        </w:rPr>
      </w:pPr>
      <w:r>
        <w:rPr>
          <w:rFonts w:ascii="Arial" w:cs="Arial" w:eastAsia="Arial" w:hAnsi="Arial"/>
          <w:sz w:val="14"/>
          <w:szCs w:val="14"/>
          <w:color w:val="auto"/>
        </w:rPr>
        <w:t>2 - We made an immaterial change to the prior period Gaming business segment AEBITDA calculation, which is our primary measure of the Gaming business segment performance measure of profit or loss. Prior period Gaming business segment AEBITDA has been recast to exclude EBITDA from equity investments to align with this new view. This change decreased Gaming business segment AEBITDA by $7 million and $9 million for the years ended December 31, 2020 and 2019, respectively. See Note 3 for additional information.</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6"/>
                <w:szCs w:val="16"/>
                <w:color w:val="auto"/>
              </w:rPr>
            </w:pPr>
          </w:p>
        </w:tc>
        <w:tc>
          <w:tcPr>
            <w:tcW w:w="234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Variance</w:t>
            </w: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
        </w:trPr>
        <w:tc>
          <w:tcPr>
            <w:tcW w:w="8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7"/>
        </w:trPr>
        <w:tc>
          <w:tcPr>
            <w:tcW w:w="840" w:type="dxa"/>
            <w:vAlign w:val="bottom"/>
            <w:tcBorders>
              <w:bottom w:val="single" w:sz="8" w:color="CCEEFF"/>
            </w:tcBorders>
          </w:tcPr>
          <w:p>
            <w:pPr>
              <w:spacing w:after="0"/>
              <w:rPr>
                <w:sz w:val="17"/>
                <w:szCs w:val="17"/>
                <w:color w:val="auto"/>
              </w:rPr>
            </w:pPr>
          </w:p>
        </w:tc>
        <w:tc>
          <w:tcPr>
            <w:tcW w:w="23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w w:val="93"/>
              </w:rPr>
              <w:t>2021 vs. 2020</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w w:val="91"/>
              </w:rPr>
              <w:t>2020 vs. 2019</w:t>
            </w:r>
          </w:p>
        </w:tc>
        <w:tc>
          <w:tcPr>
            <w:tcW w:w="620" w:type="dxa"/>
            <w:vAlign w:val="bottom"/>
            <w:tcBorders>
              <w:bottom w:val="single" w:sz="8" w:color="auto"/>
            </w:tcBorders>
          </w:tcPr>
          <w:p>
            <w:pPr>
              <w:spacing w:after="0"/>
              <w:rPr>
                <w:sz w:val="17"/>
                <w:szCs w:val="17"/>
                <w:color w:val="auto"/>
              </w:rPr>
            </w:pPr>
          </w:p>
        </w:tc>
      </w:tr>
      <w:tr>
        <w:trPr>
          <w:trHeight w:val="212"/>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3220" w:type="dxa"/>
            <w:vAlign w:val="bottom"/>
            <w:gridSpan w:val="2"/>
          </w:tcPr>
          <w:p>
            <w:pPr>
              <w:ind w:left="120"/>
              <w:spacing w:after="0"/>
              <w:rPr>
                <w:sz w:val="20"/>
                <w:szCs w:val="20"/>
                <w:color w:val="auto"/>
              </w:rPr>
            </w:pPr>
            <w:r>
              <w:rPr>
                <w:rFonts w:ascii="Arial" w:cs="Arial" w:eastAsia="Arial" w:hAnsi="Arial"/>
                <w:sz w:val="18"/>
                <w:szCs w:val="18"/>
                <w:color w:val="auto"/>
              </w:rPr>
              <w:t>Gaming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269</w:t>
            </w: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w:t>
            </w: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Gaming machine sales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3220" w:type="dxa"/>
            <w:vAlign w:val="bottom"/>
            <w:gridSpan w:val="2"/>
          </w:tcPr>
          <w:p>
            <w:pPr>
              <w:ind w:left="120"/>
              <w:spacing w:after="0"/>
              <w:rPr>
                <w:sz w:val="20"/>
                <w:szCs w:val="20"/>
                <w:color w:val="auto"/>
              </w:rPr>
            </w:pPr>
            <w:r>
              <w:rPr>
                <w:rFonts w:ascii="Arial" w:cs="Arial" w:eastAsia="Arial" w:hAnsi="Arial"/>
                <w:sz w:val="18"/>
                <w:szCs w:val="18"/>
                <w:color w:val="auto"/>
              </w:rPr>
              <w:t>Gaming systems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Table products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3220" w:type="dxa"/>
            <w:vAlign w:val="bottom"/>
            <w:gridSpan w:val="2"/>
          </w:tcPr>
          <w:p>
            <w:pPr>
              <w:ind w:left="3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84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r>
      <w:tr>
        <w:trPr>
          <w:trHeight w:val="237"/>
        </w:trPr>
        <w:tc>
          <w:tcPr>
            <w:tcW w:w="8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9"/>
        </w:trPr>
        <w:tc>
          <w:tcPr>
            <w:tcW w:w="3220" w:type="dxa"/>
            <w:vAlign w:val="bottom"/>
            <w:gridSpan w:val="2"/>
          </w:tcPr>
          <w:p>
            <w:pPr>
              <w:spacing w:after="0"/>
              <w:rPr>
                <w:sz w:val="20"/>
                <w:szCs w:val="20"/>
                <w:color w:val="auto"/>
              </w:rPr>
            </w:pPr>
            <w:r>
              <w:rPr>
                <w:rFonts w:ascii="Arial" w:cs="Arial" w:eastAsia="Arial" w:hAnsi="Arial"/>
                <w:sz w:val="18"/>
                <w:szCs w:val="18"/>
                <w:color w:val="auto"/>
              </w:rPr>
              <w:t>F/X impact on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(400)%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(121)%</w:t>
            </w:r>
          </w:p>
        </w:tc>
      </w:tr>
      <w:tr>
        <w:trPr>
          <w:trHeight w:val="257"/>
        </w:trPr>
        <w:tc>
          <w:tcPr>
            <w:tcW w:w="84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KPIs: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and Canada units: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3220" w:type="dxa"/>
            <w:vAlign w:val="bottom"/>
            <w:gridSpan w:val="2"/>
          </w:tcPr>
          <w:p>
            <w:pPr>
              <w:ind w:left="120"/>
              <w:spacing w:after="0"/>
              <w:rPr>
                <w:sz w:val="20"/>
                <w:szCs w:val="20"/>
                <w:color w:val="auto"/>
              </w:rPr>
            </w:pPr>
            <w:r>
              <w:rPr>
                <w:rFonts w:ascii="Arial" w:cs="Arial" w:eastAsia="Arial" w:hAnsi="Arial"/>
                <w:sz w:val="18"/>
                <w:szCs w:val="18"/>
                <w:color w:val="auto"/>
              </w:rPr>
              <w:t>Installed base at period end</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409</w:t>
            </w: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(1,381)</w:t>
            </w: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daily revenue per unit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8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30"/>
        </w:trPr>
        <w:tc>
          <w:tcPr>
            <w:tcW w:w="32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 units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3220" w:type="dxa"/>
            <w:vAlign w:val="bottom"/>
            <w:gridSpan w:val="2"/>
          </w:tcPr>
          <w:p>
            <w:pPr>
              <w:ind w:left="120"/>
              <w:spacing w:after="0"/>
              <w:rPr>
                <w:sz w:val="20"/>
                <w:szCs w:val="20"/>
                <w:color w:val="auto"/>
              </w:rPr>
            </w:pPr>
            <w:r>
              <w:rPr>
                <w:rFonts w:ascii="Arial" w:cs="Arial" w:eastAsia="Arial" w:hAnsi="Arial"/>
                <w:sz w:val="18"/>
                <w:szCs w:val="18"/>
                <w:color w:val="auto"/>
              </w:rPr>
              <w:t>Installed base at period end</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(2,686)</w:t>
            </w: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(2,309)</w:t>
            </w: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daily revenue per unit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8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Gaming machine sales: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3220" w:type="dxa"/>
            <w:vAlign w:val="bottom"/>
            <w:gridSpan w:val="2"/>
          </w:tcPr>
          <w:p>
            <w:pPr>
              <w:ind w:left="120"/>
              <w:spacing w:after="0"/>
              <w:rPr>
                <w:sz w:val="20"/>
                <w:szCs w:val="20"/>
                <w:color w:val="auto"/>
              </w:rPr>
            </w:pPr>
            <w:r>
              <w:rPr>
                <w:rFonts w:ascii="Arial" w:cs="Arial" w:eastAsia="Arial" w:hAnsi="Arial"/>
                <w:sz w:val="18"/>
                <w:szCs w:val="18"/>
                <w:color w:val="auto"/>
              </w:rPr>
              <w:t>U.S. and Canada new unit shipments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1,889</w:t>
            </w: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(9,525)</w:t>
            </w: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International new unit shipments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3"/>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Total new unit shipments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(4,375)</w:t>
            </w: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(7,744)</w:t>
            </w: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sales price per new unit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ind w:left="40"/>
        <w:spacing w:after="0"/>
        <w:rPr>
          <w:sz w:val="20"/>
          <w:szCs w:val="20"/>
          <w:color w:val="auto"/>
        </w:rPr>
      </w:pPr>
      <w:r>
        <w:rPr>
          <w:rFonts w:ascii="Arial" w:cs="Arial" w:eastAsia="Arial" w:hAnsi="Arial"/>
          <w:sz w:val="14"/>
          <w:szCs w:val="14"/>
          <w:color w:val="auto"/>
        </w:rPr>
        <w:t>(1) Excludes the impact of game content licensing revenue.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ectPr>
          <w:pgSz w:w="11900" w:h="16838" w:orient="portrait"/>
          <w:cols w:equalWidth="0" w:num="1">
            <w:col w:w="11220"/>
          </w:cols>
          <w:pgMar w:left="320" w:top="8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noted above, Gaming revenue was adversely affected in 2020 which continued to a lesser extent into 2021, but is recovering as social distancing measures are being rolled back, although some measures continue to be enforced in certain jurisdictions, as noted above. While the restrictions continue to be eased and removed in some geographies, certain mitigation measures have been reintroduced as a result of new virus variants and are expected to continue for an indeterminate amount of time, which will continue to affect consumer behavior, and thus, we continue to see some impact on our Gaming segment.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Gaming Operations</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Gaming operations revenue increased primarily due to the significant impact of COVID-19 disruptions on the prior year period, as described in the Consolidated Results – Revenue section above, coupled with strong growth, which approached 2019 levels as a result of strong product performance and increased market share. Gaming operations had a 409-unit increase in the U.S. and Canada installed base along with increases in average daily revenue per unit of $18.15 for the U.S. and Canada units and $4.27 for the International units, respectively, which were all primarily caused by the COVID-19 disruptions in the prior year and current year recovery. Additionally, International ending installed base units decreased by 2,686-units primarily due to the closure of certain LBOs in the U.K. that haven’t yet recovered from the pandemic along with the reduction of some underperforming units in Latin America and reducing our footprint for certain low yield operations in Greece. Additionally, Gaming operations revenue for the year ended December 31, 2021 benefited from FOBT recovery in the U.K. as described in the Consolidated Results - Revenue section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Gaming Machine Sales</w:t>
      </w:r>
    </w:p>
    <w:p>
      <w:pPr>
        <w:spacing w:after="0" w:line="144"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Gaming machine sales revenue increased primarily due to higher sales of replacement units in the U.S and Canada along with a higher average sales price per new unit. Additionally, the impact of COVID-19 on the prior year period as described above, resulted in lower unit shipments in the prior year period.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Gaming machine sales changes: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20" w:type="dxa"/>
            <w:vAlign w:val="bottom"/>
          </w:tcPr>
          <w:p>
            <w:pPr>
              <w:spacing w:after="0"/>
              <w:rPr>
                <w:sz w:val="19"/>
                <w:szCs w:val="19"/>
                <w:color w:val="auto"/>
              </w:rPr>
            </w:pPr>
          </w:p>
        </w:tc>
        <w:tc>
          <w:tcPr>
            <w:tcW w:w="30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Borders>
              <w:bottom w:val="single" w:sz="8" w:color="auto"/>
            </w:tcBorders>
            <w:gridSpan w:val="2"/>
          </w:tcPr>
          <w:p>
            <w:pPr>
              <w:jc w:val="center"/>
              <w:ind w:left="872"/>
              <w:spacing w:after="0"/>
              <w:rPr>
                <w:sz w:val="20"/>
                <w:szCs w:val="20"/>
                <w:color w:val="auto"/>
              </w:rPr>
            </w:pPr>
            <w:r>
              <w:rPr>
                <w:rFonts w:ascii="Arial" w:cs="Arial" w:eastAsia="Arial" w:hAnsi="Arial"/>
                <w:sz w:val="16"/>
                <w:szCs w:val="16"/>
                <w:b w:val="1"/>
                <w:bCs w:val="1"/>
                <w:color w:val="auto"/>
                <w:w w:val="92"/>
              </w:rPr>
              <w:t>Variance</w:t>
            </w:r>
          </w:p>
        </w:tc>
        <w:tc>
          <w:tcPr>
            <w:tcW w:w="980" w:type="dxa"/>
            <w:vAlign w:val="bottom"/>
            <w:tcBorders>
              <w:bottom w:val="single" w:sz="8" w:color="auto"/>
            </w:tcBorders>
          </w:tcPr>
          <w:p>
            <w:pPr>
              <w:spacing w:after="0"/>
              <w:rPr>
                <w:sz w:val="19"/>
                <w:szCs w:val="19"/>
                <w:color w:val="auto"/>
              </w:rPr>
            </w:pPr>
          </w:p>
        </w:tc>
      </w:tr>
      <w:tr>
        <w:trPr>
          <w:trHeight w:val="210"/>
        </w:trPr>
        <w:tc>
          <w:tcPr>
            <w:tcW w:w="3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9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2"/>
          </w:tcPr>
          <w:p>
            <w:pPr>
              <w:jc w:val="center"/>
              <w:ind w:left="892"/>
              <w:spacing w:after="0"/>
              <w:rPr>
                <w:sz w:val="20"/>
                <w:szCs w:val="20"/>
                <w:color w:val="auto"/>
              </w:rPr>
            </w:pPr>
            <w:r>
              <w:rPr>
                <w:rFonts w:ascii="Arial" w:cs="Arial" w:eastAsia="Arial" w:hAnsi="Arial"/>
                <w:sz w:val="16"/>
                <w:szCs w:val="16"/>
                <w:b w:val="1"/>
                <w:bCs w:val="1"/>
                <w:color w:val="auto"/>
                <w:w w:val="89"/>
              </w:rPr>
              <w:t>2021 vs. 2020</w:t>
            </w:r>
          </w:p>
        </w:tc>
        <w:tc>
          <w:tcPr>
            <w:tcW w:w="980" w:type="dxa"/>
            <w:vAlign w:val="bottom"/>
          </w:tcPr>
          <w:p>
            <w:pPr>
              <w:spacing w:after="0"/>
              <w:rPr>
                <w:sz w:val="18"/>
                <w:szCs w:val="18"/>
                <w:color w:val="auto"/>
              </w:rPr>
            </w:pPr>
          </w:p>
        </w:tc>
      </w:tr>
      <w:tr>
        <w:trPr>
          <w:trHeight w:val="212"/>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and Canada unit shipments:</w:t>
            </w:r>
          </w:p>
        </w:tc>
        <w:tc>
          <w:tcPr>
            <w:tcW w:w="1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29"/>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Replacement units</w:t>
            </w:r>
          </w:p>
        </w:tc>
        <w:tc>
          <w:tcPr>
            <w:tcW w:w="660" w:type="dxa"/>
            <w:vAlign w:val="bottom"/>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5,957</w:t>
            </w:r>
          </w:p>
        </w:tc>
        <w:tc>
          <w:tcPr>
            <w:tcW w:w="100" w:type="dxa"/>
            <w:vAlign w:val="bottom"/>
          </w:tcPr>
          <w:p>
            <w:pPr>
              <w:spacing w:after="0"/>
              <w:rPr>
                <w:sz w:val="19"/>
                <w:szCs w:val="19"/>
                <w:color w:val="auto"/>
              </w:rPr>
            </w:pPr>
          </w:p>
        </w:tc>
        <w:tc>
          <w:tcPr>
            <w:tcW w:w="1780" w:type="dxa"/>
            <w:vAlign w:val="bottom"/>
          </w:tcPr>
          <w:p>
            <w:pPr>
              <w:jc w:val="center"/>
              <w:ind w:left="1172"/>
              <w:spacing w:after="0"/>
              <w:rPr>
                <w:sz w:val="20"/>
                <w:szCs w:val="20"/>
                <w:color w:val="auto"/>
              </w:rPr>
            </w:pPr>
            <w:r>
              <w:rPr>
                <w:rFonts w:ascii="Arial" w:cs="Arial" w:eastAsia="Arial" w:hAnsi="Arial"/>
                <w:sz w:val="18"/>
                <w:szCs w:val="18"/>
                <w:color w:val="auto"/>
                <w:w w:val="88"/>
              </w:rPr>
              <w:t>4,428</w:t>
            </w:r>
          </w:p>
        </w:tc>
        <w:tc>
          <w:tcPr>
            <w:tcW w:w="1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Casino opening and expansion units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132"/>
              <w:spacing w:after="0"/>
              <w:rPr>
                <w:sz w:val="20"/>
                <w:szCs w:val="20"/>
                <w:color w:val="auto"/>
              </w:rPr>
            </w:pPr>
            <w:r>
              <w:rPr>
                <w:rFonts w:ascii="Arial" w:cs="Arial" w:eastAsia="Arial" w:hAnsi="Arial"/>
                <w:sz w:val="18"/>
                <w:szCs w:val="18"/>
                <w:color w:val="auto"/>
                <w:w w:val="91"/>
              </w:rPr>
              <w:t>(2,539)</w:t>
            </w: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3620" w:type="dxa"/>
            <w:vAlign w:val="bottom"/>
          </w:tcPr>
          <w:p>
            <w:pPr>
              <w:ind w:left="280"/>
              <w:spacing w:after="0"/>
              <w:rPr>
                <w:sz w:val="20"/>
                <w:szCs w:val="20"/>
                <w:color w:val="auto"/>
              </w:rPr>
            </w:pPr>
            <w:r>
              <w:rPr>
                <w:rFonts w:ascii="Arial" w:cs="Arial" w:eastAsia="Arial" w:hAnsi="Arial"/>
                <w:sz w:val="18"/>
                <w:szCs w:val="18"/>
                <w:color w:val="auto"/>
              </w:rPr>
              <w:t>Total unit shipments</w:t>
            </w:r>
          </w:p>
        </w:tc>
        <w:tc>
          <w:tcPr>
            <w:tcW w:w="1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11,876</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19"/>
                <w:szCs w:val="19"/>
                <w:color w:val="auto"/>
              </w:rPr>
            </w:pPr>
          </w:p>
        </w:tc>
        <w:tc>
          <w:tcPr>
            <w:tcW w:w="1780" w:type="dxa"/>
            <w:vAlign w:val="bottom"/>
            <w:tcBorders>
              <w:top w:val="single" w:sz="8" w:color="auto"/>
            </w:tcBorders>
          </w:tcPr>
          <w:p>
            <w:pPr>
              <w:jc w:val="center"/>
              <w:ind w:left="1172"/>
              <w:spacing w:after="0"/>
              <w:rPr>
                <w:sz w:val="20"/>
                <w:szCs w:val="20"/>
                <w:color w:val="auto"/>
              </w:rPr>
            </w:pPr>
            <w:r>
              <w:rPr>
                <w:rFonts w:ascii="Arial" w:cs="Arial" w:eastAsia="Arial" w:hAnsi="Arial"/>
                <w:sz w:val="18"/>
                <w:szCs w:val="18"/>
                <w:color w:val="auto"/>
                <w:w w:val="88"/>
              </w:rPr>
              <w:t>1,889</w:t>
            </w:r>
          </w:p>
        </w:tc>
        <w:tc>
          <w:tcPr>
            <w:tcW w:w="1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0"/>
        </w:trPr>
        <w:tc>
          <w:tcPr>
            <w:tcW w:w="36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International unit shipments: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Replacement units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132"/>
              <w:spacing w:after="0"/>
              <w:rPr>
                <w:sz w:val="20"/>
                <w:szCs w:val="20"/>
                <w:color w:val="auto"/>
              </w:rPr>
            </w:pPr>
            <w:r>
              <w:rPr>
                <w:rFonts w:ascii="Arial" w:cs="Arial" w:eastAsia="Arial" w:hAnsi="Arial"/>
                <w:sz w:val="18"/>
                <w:szCs w:val="18"/>
                <w:color w:val="auto"/>
                <w:w w:val="91"/>
              </w:rPr>
              <w:t>(8,080)</w:t>
            </w: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Casino opening and expansion units</w:t>
            </w:r>
          </w:p>
        </w:tc>
        <w:tc>
          <w:tcPr>
            <w:tcW w:w="66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1780" w:type="dxa"/>
            <w:vAlign w:val="bottom"/>
          </w:tcPr>
          <w:p>
            <w:pPr>
              <w:jc w:val="center"/>
              <w:ind w:left="1172"/>
              <w:spacing w:after="0"/>
              <w:rPr>
                <w:sz w:val="20"/>
                <w:szCs w:val="20"/>
                <w:color w:val="auto"/>
              </w:rPr>
            </w:pPr>
            <w:r>
              <w:rPr>
                <w:rFonts w:ascii="Arial" w:cs="Arial" w:eastAsia="Arial" w:hAnsi="Arial"/>
                <w:sz w:val="18"/>
                <w:szCs w:val="18"/>
                <w:color w:val="auto"/>
                <w:w w:val="88"/>
              </w:rPr>
              <w:t>1,816</w:t>
            </w:r>
          </w:p>
        </w:tc>
        <w:tc>
          <w:tcPr>
            <w:tcW w:w="1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313 %</w:t>
            </w:r>
          </w:p>
        </w:tc>
      </w:tr>
      <w:tr>
        <w:trPr>
          <w:trHeight w:val="223"/>
        </w:trPr>
        <w:tc>
          <w:tcPr>
            <w:tcW w:w="36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unit shipments</w:t>
            </w:r>
          </w:p>
        </w:tc>
        <w:tc>
          <w:tcPr>
            <w:tcW w:w="1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12,591</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ind w:left="1132"/>
              <w:spacing w:after="0"/>
              <w:rPr>
                <w:sz w:val="20"/>
                <w:szCs w:val="20"/>
                <w:color w:val="auto"/>
              </w:rPr>
            </w:pPr>
            <w:r>
              <w:rPr>
                <w:rFonts w:ascii="Arial" w:cs="Arial" w:eastAsia="Arial" w:hAnsi="Arial"/>
                <w:sz w:val="18"/>
                <w:szCs w:val="18"/>
                <w:color w:val="auto"/>
                <w:w w:val="91"/>
              </w:rPr>
              <w:t>(6,264)</w:t>
            </w:r>
          </w:p>
        </w:tc>
        <w:tc>
          <w:tcPr>
            <w:tcW w:w="10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Gaming Systems</w:t>
      </w:r>
    </w:p>
    <w:p>
      <w:pPr>
        <w:spacing w:after="0" w:line="158" w:lineRule="exact"/>
        <w:rPr>
          <w:sz w:val="20"/>
          <w:szCs w:val="20"/>
          <w:color w:val="auto"/>
        </w:rPr>
      </w:pPr>
    </w:p>
    <w:p>
      <w:pPr>
        <w:ind w:right="500" w:firstLine="648"/>
        <w:spacing w:after="0" w:line="295" w:lineRule="auto"/>
        <w:rPr>
          <w:sz w:val="20"/>
          <w:szCs w:val="20"/>
          <w:color w:val="auto"/>
        </w:rPr>
      </w:pPr>
      <w:r>
        <w:rPr>
          <w:rFonts w:ascii="Arial" w:cs="Arial" w:eastAsia="Arial" w:hAnsi="Arial"/>
          <w:sz w:val="17"/>
          <w:szCs w:val="17"/>
          <w:color w:val="auto"/>
        </w:rPr>
        <w:t xml:space="preserve">Gaming systems revenue increased primarily due to the COVID-19 disruptions in the prior year which resulted in fewer installations of new CMSs on fewer casino openings and expansions and lower hardware sales, systems maintenance revenue, and </w:t>
      </w:r>
      <w:r>
        <w:rPr>
          <w:rFonts w:ascii="Arial" w:cs="Arial" w:eastAsia="Arial" w:hAnsi="Arial"/>
          <w:sz w:val="17"/>
          <w:szCs w:val="17"/>
          <w:i w:val="1"/>
          <w:iCs w:val="1"/>
          <w:color w:val="auto"/>
        </w:rPr>
        <w:t>iVIEW</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installations.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44"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decrease in operating expenses is primarily due to a number of charges in the prior year period, which did not recur in 2021. The prior period included (1) a $54 million in goodwill impairment charge related to our U.K. Gaming reporting unit, which was recorded during the first quarter of 2020;</w:t>
      </w:r>
    </w:p>
    <w:p>
      <w:pPr>
        <w:ind w:right="1920"/>
        <w:spacing w:after="0" w:line="414" w:lineRule="auto"/>
        <w:rPr>
          <w:sz w:val="20"/>
          <w:szCs w:val="20"/>
          <w:color w:val="auto"/>
        </w:rPr>
      </w:pPr>
      <w:r>
        <w:rPr>
          <w:rFonts w:ascii="Arial" w:cs="Arial" w:eastAsia="Arial" w:hAnsi="Arial"/>
          <w:sz w:val="18"/>
          <w:szCs w:val="18"/>
          <w:color w:val="auto"/>
        </w:rPr>
        <w:t xml:space="preserve">(2) $54 million in higher allowance for credit loss charges; and (3) $48 million in inventory valuation charges to cost of products. </w:t>
      </w:r>
      <w:r>
        <w:rPr>
          <w:rFonts w:ascii="Arial" w:cs="Arial" w:eastAsia="Arial" w:hAnsi="Arial"/>
          <w:sz w:val="18"/>
          <w:szCs w:val="18"/>
          <w:i w:val="1"/>
          <w:iCs w:val="1"/>
          <w:color w:val="auto"/>
        </w:rPr>
        <w:t>AEBITDA</w:t>
      </w:r>
    </w:p>
    <w:p>
      <w:pPr>
        <w:spacing w:after="0" w:line="1"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AEBITDA increased by $419 million or 175% primarily due to increased revenues coupled with $102 million in lower charges to allowance for credit losses and inventory during the year ended 2021 described above. AEBITDA margin for the year ended 2021 increased by 24 percentage points to 50%.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ind w:right="5520"/>
        <w:spacing w:after="0" w:line="414" w:lineRule="auto"/>
        <w:rPr>
          <w:sz w:val="20"/>
          <w:szCs w:val="20"/>
          <w:color w:val="auto"/>
        </w:rPr>
      </w:pPr>
      <w:r>
        <w:rPr>
          <w:rFonts w:ascii="Arial" w:cs="Arial" w:eastAsia="Arial" w:hAnsi="Arial"/>
          <w:sz w:val="18"/>
          <w:szCs w:val="18"/>
          <w:b w:val="1"/>
          <w:bCs w:val="1"/>
          <w:i w:val="1"/>
          <w:iCs w:val="1"/>
          <w:color w:val="auto"/>
        </w:rPr>
        <w:t xml:space="preserve">Year Ended December 31, 2020 Compared to Year Ended December 31, 2019 </w:t>
      </w:r>
      <w:r>
        <w:rPr>
          <w:rFonts w:ascii="Arial" w:cs="Arial" w:eastAsia="Arial" w:hAnsi="Arial"/>
          <w:sz w:val="18"/>
          <w:szCs w:val="18"/>
          <w:i w:val="1"/>
          <w:iCs w:val="1"/>
          <w:color w:val="auto"/>
        </w:rPr>
        <w:t>Revenue</w:t>
      </w:r>
    </w:p>
    <w:p>
      <w:pPr>
        <w:spacing w:after="0" w:line="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All of our 2020 Gaming revenue was negatively impacted by the COVID-19 disruptions that resulted in temporary closures and/or reduced operating capacity of a substantial number of gaming operations establishments in various jurisdictions globally, as described in the “</w:t>
      </w:r>
      <w:r>
        <w:rPr>
          <w:rFonts w:ascii="Arial" w:cs="Arial" w:eastAsia="Arial" w:hAnsi="Arial"/>
          <w:sz w:val="16"/>
          <w:szCs w:val="16"/>
          <w:i w:val="1"/>
          <w:iCs w:val="1"/>
          <w:color w:val="auto"/>
        </w:rPr>
        <w:t>Business Overview –</w:t>
      </w:r>
      <w:r>
        <w:rPr>
          <w:rFonts w:ascii="Arial" w:cs="Arial" w:eastAsia="Arial" w:hAnsi="Arial"/>
          <w:sz w:val="16"/>
          <w:szCs w:val="16"/>
          <w:color w:val="auto"/>
        </w:rPr>
        <w:t xml:space="preserve"> </w:t>
      </w:r>
      <w:r>
        <w:rPr>
          <w:rFonts w:ascii="Arial" w:cs="Arial" w:eastAsia="Arial" w:hAnsi="Arial"/>
          <w:sz w:val="16"/>
          <w:szCs w:val="16"/>
          <w:i w:val="1"/>
          <w:iCs w:val="1"/>
          <w:color w:val="auto"/>
        </w:rPr>
        <w:t>Highlights, including recent developments – Impacts of COVID-19 on Business Operations, Financial Results and Liquidity</w:t>
      </w:r>
      <w:r>
        <w:rPr>
          <w:rFonts w:ascii="Arial" w:cs="Arial" w:eastAsia="Arial" w:hAnsi="Arial"/>
          <w:sz w:val="16"/>
          <w:szCs w:val="16"/>
          <w:color w:val="auto"/>
        </w:rPr>
        <w:t>” section above. As gaming</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establishments began to reopen in June and openings have continued through the year, demand has steadily increased. The continuation of social distancing measures that were implemented and still being enforced in many jurisdictions (including substantial reductions of maximum floor capacities, table play customer limitations and reduction of slot machines available for play) have had a negative impact on our Gaming revenue.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Gaming Operations</w:t>
      </w:r>
    </w:p>
    <w:p>
      <w:pPr>
        <w:spacing w:after="0" w:line="158"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Gaming operations revenue decreased compared to the prior year primarily due to the COVID-19 disruptions (including fixed fee arrangement concessions granted) described above which was the driving factor in a 1,381-unit decrease in the U.S. and Canada ending installed base and a 2,309-unit decrease in the International ending installed base and both domestic and International average daily revenues per unit.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Gaming Machine Sales</w:t>
      </w:r>
    </w:p>
    <w:p>
      <w:pPr>
        <w:spacing w:after="0" w:line="15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Gaming machine sales revenue decreased compared to the prior year primarily due to the impact of COVID-19 as described above driving lower unit shipments primarily in replacement unit sales, coupled with decreases in the average sales price per unit reflecting a less favorable mix of Gaming machine sales.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Gaming machine sales changes: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60" w:type="dxa"/>
            <w:vAlign w:val="bottom"/>
          </w:tcPr>
          <w:p>
            <w:pPr>
              <w:spacing w:after="0"/>
              <w:rPr>
                <w:sz w:val="19"/>
                <w:szCs w:val="19"/>
                <w:color w:val="auto"/>
              </w:rPr>
            </w:pPr>
          </w:p>
        </w:tc>
        <w:tc>
          <w:tcPr>
            <w:tcW w:w="30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6"/>
                <w:szCs w:val="16"/>
                <w:b w:val="1"/>
                <w:bCs w:val="1"/>
                <w:color w:val="auto"/>
              </w:rPr>
              <w:t>Year Ended December 31,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Borders>
              <w:bottom w:val="single" w:sz="8" w:color="auto"/>
            </w:tcBorders>
            <w:gridSpan w:val="2"/>
          </w:tcPr>
          <w:p>
            <w:pPr>
              <w:jc w:val="center"/>
              <w:ind w:left="892"/>
              <w:spacing w:after="0"/>
              <w:rPr>
                <w:sz w:val="20"/>
                <w:szCs w:val="20"/>
                <w:color w:val="auto"/>
              </w:rPr>
            </w:pPr>
            <w:r>
              <w:rPr>
                <w:rFonts w:ascii="Arial" w:cs="Arial" w:eastAsia="Arial" w:hAnsi="Arial"/>
                <w:sz w:val="16"/>
                <w:szCs w:val="16"/>
                <w:b w:val="1"/>
                <w:bCs w:val="1"/>
                <w:color w:val="auto"/>
                <w:w w:val="92"/>
              </w:rPr>
              <w:t>Variance</w:t>
            </w:r>
          </w:p>
        </w:tc>
        <w:tc>
          <w:tcPr>
            <w:tcW w:w="960" w:type="dxa"/>
            <w:vAlign w:val="bottom"/>
            <w:tcBorders>
              <w:bottom w:val="single" w:sz="8" w:color="auto"/>
            </w:tcBorders>
          </w:tcPr>
          <w:p>
            <w:pPr>
              <w:spacing w:after="0"/>
              <w:rPr>
                <w:sz w:val="19"/>
                <w:szCs w:val="19"/>
                <w:color w:val="auto"/>
              </w:rPr>
            </w:pPr>
          </w:p>
        </w:tc>
      </w:tr>
      <w:tr>
        <w:trPr>
          <w:trHeight w:val="210"/>
        </w:trPr>
        <w:tc>
          <w:tcPr>
            <w:tcW w:w="36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8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2"/>
          </w:tcPr>
          <w:p>
            <w:pPr>
              <w:jc w:val="center"/>
              <w:ind w:left="872"/>
              <w:spacing w:after="0"/>
              <w:rPr>
                <w:sz w:val="20"/>
                <w:szCs w:val="20"/>
                <w:color w:val="auto"/>
              </w:rPr>
            </w:pPr>
            <w:r>
              <w:rPr>
                <w:rFonts w:ascii="Arial" w:cs="Arial" w:eastAsia="Arial" w:hAnsi="Arial"/>
                <w:sz w:val="16"/>
                <w:szCs w:val="16"/>
                <w:b w:val="1"/>
                <w:bCs w:val="1"/>
                <w:color w:val="auto"/>
                <w:w w:val="89"/>
              </w:rPr>
              <w:t>2020 vs. 2019</w:t>
            </w:r>
          </w:p>
        </w:tc>
        <w:tc>
          <w:tcPr>
            <w:tcW w:w="960" w:type="dxa"/>
            <w:vAlign w:val="bottom"/>
          </w:tcPr>
          <w:p>
            <w:pPr>
              <w:spacing w:after="0"/>
              <w:rPr>
                <w:sz w:val="18"/>
                <w:szCs w:val="18"/>
                <w:color w:val="auto"/>
              </w:rPr>
            </w:pPr>
          </w:p>
        </w:tc>
      </w:tr>
      <w:tr>
        <w:trPr>
          <w:trHeight w:val="212"/>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and Canada unit shipments:</w:t>
            </w:r>
          </w:p>
        </w:tc>
        <w:tc>
          <w:tcPr>
            <w:tcW w:w="1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Replacement units</w:t>
            </w:r>
          </w:p>
        </w:tc>
        <w:tc>
          <w:tcPr>
            <w:tcW w:w="640" w:type="dxa"/>
            <w:vAlign w:val="bottom"/>
          </w:tcPr>
          <w:p>
            <w:pPr>
              <w:jc w:val="right"/>
              <w:spacing w:after="0"/>
              <w:rPr>
                <w:sz w:val="20"/>
                <w:szCs w:val="20"/>
                <w:color w:val="auto"/>
              </w:rPr>
            </w:pPr>
            <w:r>
              <w:rPr>
                <w:rFonts w:ascii="Arial" w:cs="Arial" w:eastAsia="Arial" w:hAnsi="Arial"/>
                <w:sz w:val="18"/>
                <w:szCs w:val="18"/>
                <w:color w:val="auto"/>
              </w:rPr>
              <w:t>5,957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14,290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(8,333)</w:t>
            </w:r>
          </w:p>
        </w:tc>
        <w:tc>
          <w:tcPr>
            <w:tcW w:w="10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Casino opening and expansion units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3660" w:type="dxa"/>
            <w:vAlign w:val="bottom"/>
          </w:tcPr>
          <w:p>
            <w:pPr>
              <w:ind w:left="280"/>
              <w:spacing w:after="0"/>
              <w:rPr>
                <w:sz w:val="20"/>
                <w:szCs w:val="20"/>
                <w:color w:val="auto"/>
              </w:rPr>
            </w:pPr>
            <w:r>
              <w:rPr>
                <w:rFonts w:ascii="Arial" w:cs="Arial" w:eastAsia="Arial" w:hAnsi="Arial"/>
                <w:sz w:val="18"/>
                <w:szCs w:val="18"/>
                <w:color w:val="auto"/>
              </w:rPr>
              <w:t>Total unit shipments</w:t>
            </w:r>
          </w:p>
        </w:tc>
        <w:tc>
          <w:tcPr>
            <w:tcW w:w="1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9,987</w:t>
            </w: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19,512</w:t>
            </w:r>
          </w:p>
        </w:tc>
        <w:tc>
          <w:tcPr>
            <w:tcW w:w="10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(9,525)</w:t>
            </w:r>
          </w:p>
        </w:tc>
        <w:tc>
          <w:tcPr>
            <w:tcW w:w="10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36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International unit shipments: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Replacement units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Casino opening and expansion units</w:t>
            </w:r>
          </w:p>
        </w:tc>
        <w:tc>
          <w:tcPr>
            <w:tcW w:w="64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387</w:t>
            </w:r>
          </w:p>
        </w:tc>
        <w:tc>
          <w:tcPr>
            <w:tcW w:w="10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199 %</w:t>
            </w:r>
          </w:p>
        </w:tc>
      </w:tr>
      <w:tr>
        <w:trPr>
          <w:trHeight w:val="223"/>
        </w:trPr>
        <w:tc>
          <w:tcPr>
            <w:tcW w:w="36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unit shipments</w:t>
            </w:r>
          </w:p>
        </w:tc>
        <w:tc>
          <w:tcPr>
            <w:tcW w:w="1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10,810</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Gaming Systems</w:t>
      </w:r>
    </w:p>
    <w:p>
      <w:pPr>
        <w:spacing w:after="0" w:line="144" w:lineRule="exact"/>
        <w:rPr>
          <w:sz w:val="20"/>
          <w:szCs w:val="20"/>
          <w:color w:val="auto"/>
        </w:rPr>
      </w:pPr>
    </w:p>
    <w:p>
      <w:pPr>
        <w:ind w:right="140" w:firstLine="648"/>
        <w:spacing w:after="0" w:line="282" w:lineRule="auto"/>
        <w:rPr>
          <w:sz w:val="20"/>
          <w:szCs w:val="20"/>
          <w:color w:val="auto"/>
        </w:rPr>
      </w:pPr>
      <w:r>
        <w:rPr>
          <w:rFonts w:ascii="Arial" w:cs="Arial" w:eastAsia="Arial" w:hAnsi="Arial"/>
          <w:sz w:val="17"/>
          <w:szCs w:val="17"/>
          <w:color w:val="auto"/>
        </w:rPr>
        <w:t xml:space="preserve">Gaming systems revenue decreased primarily due to the COVID-19 disruptions described above resulting in fewer installations of new CMSs on fewer casino openings and expansions, lower hardware sales, lower systems maintenance revenue reflective of customer concessions granted during the COVID-19 shutdowns, and lower </w:t>
      </w:r>
      <w:r>
        <w:rPr>
          <w:rFonts w:ascii="Arial" w:cs="Arial" w:eastAsia="Arial" w:hAnsi="Arial"/>
          <w:sz w:val="17"/>
          <w:szCs w:val="17"/>
          <w:i w:val="1"/>
          <w:iCs w:val="1"/>
          <w:color w:val="auto"/>
        </w:rPr>
        <w:t>iVIEW</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installations due to certain Canadian contracts that were completed in the prior year.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decrease in operating expenses is primarily due to lower cost of revenue correlated with the decrease in total revenue (as described above), which was partially offset by: (1) a $48 million increase of inventory valuation charges to Cost of product sales, (as described above and in Note 8), and (2) $20 million increase in Restructuring and other charges. Additionally, the year ended December 31, 2020 includes a $54 million in goodwill impairment charge and a $54 million charge related to allowance for credit losses, which reflects actual and forecasted credit deterioration primarily due to the COVID-19 disruptions coupled with the impacts of foreign exchange and the worsening of the expected credit position in our Latin America receivables portfolio specifically (see Note 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AEBITDA</w:t>
      </w:r>
    </w:p>
    <w:p>
      <w:pPr>
        <w:spacing w:after="0" w:line="158" w:lineRule="exact"/>
        <w:rPr>
          <w:sz w:val="20"/>
          <w:szCs w:val="20"/>
          <w:color w:val="auto"/>
        </w:rPr>
      </w:pPr>
    </w:p>
    <w:p>
      <w:pPr>
        <w:jc w:val="both"/>
        <w:ind w:right="480" w:firstLine="648"/>
        <w:spacing w:after="0" w:line="263" w:lineRule="auto"/>
        <w:rPr>
          <w:sz w:val="20"/>
          <w:szCs w:val="20"/>
          <w:color w:val="auto"/>
        </w:rPr>
      </w:pPr>
      <w:r>
        <w:rPr>
          <w:rFonts w:ascii="Arial" w:cs="Arial" w:eastAsia="Arial" w:hAnsi="Arial"/>
          <w:sz w:val="18"/>
          <w:szCs w:val="18"/>
          <w:color w:val="auto"/>
        </w:rPr>
        <w:t>AEBITDA decreased by $616 million or 72% primarily due to lower revenues as a result of COVID-19 disruptions, coupled with charges to allowance for credit losses and inventory during the year ended 2020 described above. AEBITDA margin for the year ended 2020 comparable period decreased by 23 percentage points to 26%.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SCIPLAY</w:t>
      </w:r>
    </w:p>
    <w:p>
      <w:pPr>
        <w:spacing w:after="0" w:line="16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Our SciPlay business segment is a leading developer and publisher of digital games on mobile and web platforms. SciPlay operates in the social gaming market, which is characterized by gameplay online, on mobile phones or on tablets that are social and competitive, and self-directed in pace and session length. SciPlay generates substantially all of their revenue from in-app purchases in the form of coins, chips and cards, which players can use to play slot games, table games or bingo games. Players who install SciPlay’s games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extend their time of game play. Once obtained, coins, chips and cards (either free or purchased) cannot be redeemed for cash nor exchanged for anything other than game play within SciPlay’s apps. SciPlay distributes their games through various global social web and mobile platforms such as </w:t>
      </w:r>
      <w:r>
        <w:rPr>
          <w:rFonts w:ascii="Arial" w:cs="Arial" w:eastAsia="Arial" w:hAnsi="Arial"/>
          <w:sz w:val="17"/>
          <w:szCs w:val="17"/>
          <w:i w:val="1"/>
          <w:iCs w:val="1"/>
          <w:color w:val="auto"/>
        </w:rPr>
        <w:t>Facebook</w:t>
      </w:r>
      <w:r>
        <w:rPr>
          <w:rFonts w:ascii="Arial" w:cs="Arial" w:eastAsia="Arial" w:hAnsi="Arial"/>
          <w:sz w:val="17"/>
          <w:szCs w:val="17"/>
          <w:color w:val="auto"/>
        </w:rPr>
        <w:t xml:space="preserve">, </w:t>
      </w:r>
      <w:r>
        <w:rPr>
          <w:rFonts w:ascii="Arial" w:cs="Arial" w:eastAsia="Arial" w:hAnsi="Arial"/>
          <w:sz w:val="17"/>
          <w:szCs w:val="17"/>
          <w:i w:val="1"/>
          <w:iCs w:val="1"/>
          <w:color w:val="auto"/>
        </w:rPr>
        <w:t>Apple</w:t>
      </w:r>
      <w:r>
        <w:rPr>
          <w:rFonts w:ascii="Arial" w:cs="Arial" w:eastAsia="Arial" w:hAnsi="Arial"/>
          <w:sz w:val="17"/>
          <w:szCs w:val="17"/>
          <w:color w:val="auto"/>
        </w:rPr>
        <w:t xml:space="preserve">, </w:t>
      </w:r>
      <w:r>
        <w:rPr>
          <w:rFonts w:ascii="Arial" w:cs="Arial" w:eastAsia="Arial" w:hAnsi="Arial"/>
          <w:sz w:val="17"/>
          <w:szCs w:val="17"/>
          <w:i w:val="1"/>
          <w:iCs w:val="1"/>
          <w:color w:val="auto"/>
        </w:rPr>
        <w:t>Google</w:t>
      </w:r>
      <w:r>
        <w:rPr>
          <w:rFonts w:ascii="Arial" w:cs="Arial" w:eastAsia="Arial" w:hAnsi="Arial"/>
          <w:sz w:val="17"/>
          <w:szCs w:val="17"/>
          <w:color w:val="auto"/>
        </w:rPr>
        <w:t xml:space="preserve">, </w:t>
      </w:r>
      <w:r>
        <w:rPr>
          <w:rFonts w:ascii="Arial" w:cs="Arial" w:eastAsia="Arial" w:hAnsi="Arial"/>
          <w:sz w:val="17"/>
          <w:szCs w:val="17"/>
          <w:i w:val="1"/>
          <w:iCs w:val="1"/>
          <w:color w:val="auto"/>
        </w:rPr>
        <w:t>Amazon</w:t>
      </w:r>
      <w:r>
        <w:rPr>
          <w:rFonts w:ascii="Arial" w:cs="Arial" w:eastAsia="Arial" w:hAnsi="Arial"/>
          <w:sz w:val="17"/>
          <w:szCs w:val="17"/>
          <w:color w:val="auto"/>
        </w:rPr>
        <w:t xml:space="preserve">, and </w:t>
      </w:r>
      <w:r>
        <w:rPr>
          <w:rFonts w:ascii="Arial" w:cs="Arial" w:eastAsia="Arial" w:hAnsi="Arial"/>
          <w:sz w:val="17"/>
          <w:szCs w:val="17"/>
          <w:i w:val="1"/>
          <w:iCs w:val="1"/>
          <w:color w:val="auto"/>
        </w:rPr>
        <w:t>Microsoft</w:t>
      </w:r>
      <w:r>
        <w:rPr>
          <w:rFonts w:ascii="Arial" w:cs="Arial" w:eastAsia="Arial" w:hAnsi="Arial"/>
          <w:sz w:val="17"/>
          <w:szCs w:val="17"/>
          <w:color w:val="auto"/>
        </w:rPr>
        <w:t>.</w:t>
      </w:r>
    </w:p>
    <w:p>
      <w:pPr>
        <w:spacing w:after="0" w:line="105"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 xml:space="preserve">SciPlay currently offers a variety of social casino games, including </w:t>
      </w:r>
      <w:r>
        <w:rPr>
          <w:rFonts w:ascii="Arial" w:cs="Arial" w:eastAsia="Arial" w:hAnsi="Arial"/>
          <w:sz w:val="16"/>
          <w:szCs w:val="16"/>
          <w:i w:val="1"/>
          <w:iCs w:val="1"/>
          <w:color w:val="auto"/>
        </w:rPr>
        <w:t>Jackpot Party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Casino</w:t>
      </w:r>
      <w:r>
        <w:rPr>
          <w:rFonts w:ascii="Arial" w:cs="Arial" w:eastAsia="Arial" w:hAnsi="Arial"/>
          <w:sz w:val="16"/>
          <w:szCs w:val="16"/>
          <w:color w:val="auto"/>
        </w:rPr>
        <w:t xml:space="preserve">, </w:t>
      </w:r>
      <w:r>
        <w:rPr>
          <w:rFonts w:ascii="Arial" w:cs="Arial" w:eastAsia="Arial" w:hAnsi="Arial"/>
          <w:sz w:val="16"/>
          <w:szCs w:val="16"/>
          <w:i w:val="1"/>
          <w:iCs w:val="1"/>
          <w:color w:val="auto"/>
        </w:rPr>
        <w:t>Gold Fish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Casino</w:t>
      </w:r>
      <w:r>
        <w:rPr>
          <w:rFonts w:ascii="Arial" w:cs="Arial" w:eastAsia="Arial" w:hAnsi="Arial"/>
          <w:sz w:val="16"/>
          <w:szCs w:val="16"/>
          <w:color w:val="auto"/>
        </w:rPr>
        <w:t xml:space="preserve">, </w:t>
      </w:r>
      <w:r>
        <w:rPr>
          <w:rFonts w:ascii="Arial" w:cs="Arial" w:eastAsia="Arial" w:hAnsi="Arial"/>
          <w:sz w:val="16"/>
          <w:szCs w:val="16"/>
          <w:i w:val="1"/>
          <w:iCs w:val="1"/>
          <w:color w:val="auto"/>
        </w:rPr>
        <w:t>Quick Hit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Slots</w:t>
      </w:r>
      <w:r>
        <w:rPr>
          <w:rFonts w:ascii="Arial" w:cs="Arial" w:eastAsia="Arial" w:hAnsi="Arial"/>
          <w:sz w:val="16"/>
          <w:szCs w:val="16"/>
          <w:color w:val="auto"/>
        </w:rPr>
        <w:t xml:space="preserve">, </w:t>
      </w:r>
      <w:r>
        <w:rPr>
          <w:rFonts w:ascii="Arial" w:cs="Arial" w:eastAsia="Arial" w:hAnsi="Arial"/>
          <w:sz w:val="16"/>
          <w:szCs w:val="16"/>
          <w:i w:val="1"/>
          <w:iCs w:val="1"/>
          <w:color w:val="auto"/>
        </w:rPr>
        <w:t>88 Fortunes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Slots, MONOPOLY</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Slots </w:t>
      </w:r>
      <w:r>
        <w:rPr>
          <w:rFonts w:ascii="Arial" w:cs="Arial" w:eastAsia="Arial" w:hAnsi="Arial"/>
          <w:sz w:val="16"/>
          <w:szCs w:val="16"/>
          <w:color w:val="auto"/>
        </w:rPr>
        <w:t>and</w:t>
      </w:r>
      <w:r>
        <w:rPr>
          <w:rFonts w:ascii="Arial" w:cs="Arial" w:eastAsia="Arial" w:hAnsi="Arial"/>
          <w:sz w:val="16"/>
          <w:szCs w:val="16"/>
          <w:i w:val="1"/>
          <w:iCs w:val="1"/>
          <w:color w:val="auto"/>
        </w:rPr>
        <w:t xml:space="preserve"> Hot Shot Casino</w:t>
      </w:r>
      <w:r>
        <w:rPr>
          <w:rFonts w:ascii="Arial" w:cs="Arial" w:eastAsia="Arial" w:hAnsi="Arial"/>
          <w:sz w:val="20"/>
          <w:szCs w:val="20"/>
          <w:color w:val="auto"/>
          <w:vertAlign w:val="superscript"/>
        </w:rPr>
        <w:t>®</w:t>
      </w:r>
      <w:r>
        <w:rPr>
          <w:rFonts w:ascii="Arial" w:cs="Arial" w:eastAsia="Arial" w:hAnsi="Arial"/>
          <w:sz w:val="16"/>
          <w:szCs w:val="16"/>
          <w:color w:val="auto"/>
        </w:rPr>
        <w:t>. Our SciPlay business segment continues to pursue its strategy of expanding into the casual games market.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Current casual game titles include </w:t>
      </w:r>
      <w:r>
        <w:rPr>
          <w:rFonts w:ascii="Arial" w:cs="Arial" w:eastAsia="Arial" w:hAnsi="Arial"/>
          <w:sz w:val="16"/>
          <w:szCs w:val="16"/>
          <w:i w:val="1"/>
          <w:iCs w:val="1"/>
          <w:color w:val="auto"/>
        </w:rPr>
        <w:t>Bingo Showdown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Solitaire Pets</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w:t>
      </w:r>
      <w:r>
        <w:rPr>
          <w:rFonts w:ascii="Arial" w:cs="Arial" w:eastAsia="Arial" w:hAnsi="Arial"/>
          <w:sz w:val="16"/>
          <w:szCs w:val="16"/>
          <w:i w:val="1"/>
          <w:iCs w:val="1"/>
          <w:color w:val="auto"/>
        </w:rPr>
        <w:t>Adventure</w:t>
      </w:r>
      <w:r>
        <w:rPr>
          <w:rFonts w:ascii="Arial" w:cs="Arial" w:eastAsia="Arial" w:hAnsi="Arial"/>
          <w:sz w:val="16"/>
          <w:szCs w:val="16"/>
          <w:color w:val="auto"/>
        </w:rPr>
        <w:t xml:space="preserve">. SciPlay currently plans to launch an additional casual game in 2022. SciPlay’s social casino games typically include slots-style game play and occasionally include table games-style game play, while our casual games blend solitaire-style or bingo game play with adventure game features. All of SciPlay’s games are offered and played across multiple platforms, including </w:t>
      </w:r>
      <w:r>
        <w:rPr>
          <w:rFonts w:ascii="Arial" w:cs="Arial" w:eastAsia="Arial" w:hAnsi="Arial"/>
          <w:sz w:val="16"/>
          <w:szCs w:val="16"/>
          <w:i w:val="1"/>
          <w:iCs w:val="1"/>
          <w:color w:val="auto"/>
        </w:rPr>
        <w:t>Apple</w:t>
      </w:r>
      <w:r>
        <w:rPr>
          <w:rFonts w:ascii="Arial" w:cs="Arial" w:eastAsia="Arial" w:hAnsi="Arial"/>
          <w:sz w:val="16"/>
          <w:szCs w:val="16"/>
          <w:color w:val="auto"/>
        </w:rPr>
        <w:t xml:space="preserve">, </w:t>
      </w:r>
      <w:r>
        <w:rPr>
          <w:rFonts w:ascii="Arial" w:cs="Arial" w:eastAsia="Arial" w:hAnsi="Arial"/>
          <w:sz w:val="16"/>
          <w:szCs w:val="16"/>
          <w:i w:val="1"/>
          <w:iCs w:val="1"/>
          <w:color w:val="auto"/>
        </w:rPr>
        <w:t>Google</w:t>
      </w:r>
      <w:r>
        <w:rPr>
          <w:rFonts w:ascii="Arial" w:cs="Arial" w:eastAsia="Arial" w:hAnsi="Arial"/>
          <w:sz w:val="16"/>
          <w:szCs w:val="16"/>
          <w:color w:val="auto"/>
        </w:rPr>
        <w:t>,</w:t>
      </w:r>
      <w:r>
        <w:rPr>
          <w:rFonts w:ascii="Arial" w:cs="Arial" w:eastAsia="Arial" w:hAnsi="Arial"/>
          <w:sz w:val="16"/>
          <w:szCs w:val="16"/>
          <w:i w:val="1"/>
          <w:iCs w:val="1"/>
          <w:color w:val="auto"/>
        </w:rPr>
        <w:t xml:space="preserve"> Facebook</w:t>
      </w:r>
      <w:r>
        <w:rPr>
          <w:rFonts w:ascii="Arial" w:cs="Arial" w:eastAsia="Arial" w:hAnsi="Arial"/>
          <w:sz w:val="16"/>
          <w:szCs w:val="16"/>
          <w:color w:val="auto"/>
        </w:rPr>
        <w:t>,</w:t>
      </w:r>
      <w:r>
        <w:rPr>
          <w:rFonts w:ascii="Arial" w:cs="Arial" w:eastAsia="Arial" w:hAnsi="Arial"/>
          <w:sz w:val="16"/>
          <w:szCs w:val="16"/>
          <w:i w:val="1"/>
          <w:iCs w:val="1"/>
          <w:color w:val="auto"/>
        </w:rPr>
        <w:t xml:space="preserve"> Amazon</w:t>
      </w:r>
      <w:r>
        <w:rPr>
          <w:rFonts w:ascii="Arial" w:cs="Arial" w:eastAsia="Arial" w:hAnsi="Arial"/>
          <w:sz w:val="16"/>
          <w:szCs w:val="16"/>
          <w:color w:val="auto"/>
        </w:rPr>
        <w:t>, and</w:t>
      </w:r>
      <w:r>
        <w:rPr>
          <w:rFonts w:ascii="Arial" w:cs="Arial" w:eastAsia="Arial" w:hAnsi="Arial"/>
          <w:sz w:val="16"/>
          <w:szCs w:val="16"/>
          <w:i w:val="1"/>
          <w:iCs w:val="1"/>
          <w:color w:val="auto"/>
        </w:rPr>
        <w:t xml:space="preserve"> Microsoft</w:t>
      </w:r>
      <w:r>
        <w:rPr>
          <w:rFonts w:ascii="Arial" w:cs="Arial" w:eastAsia="Arial" w:hAnsi="Arial"/>
          <w:sz w:val="16"/>
          <w:szCs w:val="16"/>
          <w:color w:val="auto"/>
        </w:rPr>
        <w:t>. In addition to SciPlay’s internally created game content, SciPlay’s content library includes recognizable, game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content from Scientific Games. This content allows players who like playing land-based slot machines to enjoy some of those same titles in our free-to-play games. SciPlay has access to Scientific Games' library of more than 1,500 iconic casino titles, including titles and content from third-party licensed brands such as </w:t>
      </w:r>
      <w:r>
        <w:rPr>
          <w:rFonts w:ascii="Arial" w:cs="Arial" w:eastAsia="Arial" w:hAnsi="Arial"/>
          <w:sz w:val="16"/>
          <w:szCs w:val="16"/>
          <w:i w:val="1"/>
          <w:iCs w:val="1"/>
          <w:color w:val="auto"/>
        </w:rPr>
        <w:t>MONOPOLY</w:t>
      </w:r>
      <w:r>
        <w:rPr>
          <w:rFonts w:ascii="Arial" w:cs="Arial" w:eastAsia="Arial" w:hAnsi="Arial"/>
          <w:sz w:val="16"/>
          <w:szCs w:val="16"/>
          <w:color w:val="auto"/>
        </w:rPr>
        <w:t>™</w:t>
      </w:r>
      <w:r>
        <w:rPr>
          <w:rFonts w:ascii="Arial" w:cs="Arial" w:eastAsia="Arial" w:hAnsi="Arial"/>
          <w:sz w:val="16"/>
          <w:szCs w:val="16"/>
          <w:i w:val="1"/>
          <w:iCs w:val="1"/>
          <w:color w:val="auto"/>
        </w:rPr>
        <w:t>, THE FLINTSTONES</w:t>
      </w:r>
      <w:r>
        <w:rPr>
          <w:rFonts w:ascii="Arial" w:cs="Arial" w:eastAsia="Arial" w:hAnsi="Arial"/>
          <w:sz w:val="16"/>
          <w:szCs w:val="16"/>
          <w:color w:val="auto"/>
        </w:rPr>
        <w:t>™</w:t>
      </w:r>
      <w:r>
        <w:rPr>
          <w:rFonts w:ascii="Arial" w:cs="Arial" w:eastAsia="Arial" w:hAnsi="Arial"/>
          <w:sz w:val="16"/>
          <w:szCs w:val="16"/>
          <w:i w:val="1"/>
          <w:iCs w:val="1"/>
          <w:color w:val="auto"/>
        </w:rPr>
        <w:t>, JAMES BOND</w:t>
      </w:r>
      <w:r>
        <w:rPr>
          <w:rFonts w:ascii="Arial" w:cs="Arial" w:eastAsia="Arial" w:hAnsi="Arial"/>
          <w:sz w:val="16"/>
          <w:szCs w:val="16"/>
          <w:color w:val="auto"/>
        </w:rPr>
        <w:t xml:space="preserve">™, and </w:t>
      </w:r>
      <w:r>
        <w:rPr>
          <w:rFonts w:ascii="Arial" w:cs="Arial" w:eastAsia="Arial" w:hAnsi="Arial"/>
          <w:sz w:val="16"/>
          <w:szCs w:val="16"/>
          <w:i w:val="1"/>
          <w:iCs w:val="1"/>
          <w:color w:val="auto"/>
        </w:rPr>
        <w:t>PLAYBOY</w:t>
      </w:r>
      <w:r>
        <w:rPr>
          <w:rFonts w:ascii="Arial" w:cs="Arial" w:eastAsia="Arial" w:hAnsi="Arial"/>
          <w:sz w:val="16"/>
          <w:szCs w:val="16"/>
          <w:color w:val="auto"/>
        </w:rPr>
        <w:t>™. SciPlay’s access to this content, coupled with our years of experience developing in-house content, uniquely positions SciPlay to create compelling social games.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 update</w:t>
      </w:r>
    </w:p>
    <w:p>
      <w:pPr>
        <w:spacing w:after="0" w:line="15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As described in the </w:t>
      </w:r>
      <w:r>
        <w:rPr>
          <w:rFonts w:ascii="Arial" w:cs="Arial" w:eastAsia="Arial" w:hAnsi="Arial"/>
          <w:sz w:val="16"/>
          <w:szCs w:val="16"/>
          <w:i w:val="1"/>
          <w:iCs w:val="1"/>
          <w:color w:val="auto"/>
        </w:rPr>
        <w:t>“Business Overview – Highlights, including recent developments – Impacts of COVID-19 on Business Operations,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Results and Liquidity” </w:t>
      </w:r>
      <w:r>
        <w:rPr>
          <w:rFonts w:ascii="Arial" w:cs="Arial" w:eastAsia="Arial" w:hAnsi="Arial"/>
          <w:sz w:val="16"/>
          <w:szCs w:val="16"/>
          <w:color w:val="auto"/>
        </w:rPr>
        <w:t>section above, COVID-19 impacted our business in various ways. While many of SciPlay’s current and potential players may have</w:t>
      </w:r>
      <w:r>
        <w:rPr>
          <w:rFonts w:ascii="Arial" w:cs="Arial" w:eastAsia="Arial" w:hAnsi="Arial"/>
          <w:sz w:val="16"/>
          <w:szCs w:val="16"/>
          <w:i w:val="1"/>
          <w:iCs w:val="1"/>
          <w:color w:val="auto"/>
        </w:rPr>
        <w:t xml:space="preserve"> </w:t>
      </w:r>
      <w:r>
        <w:rPr>
          <w:rFonts w:ascii="Arial" w:cs="Arial" w:eastAsia="Arial" w:hAnsi="Arial"/>
          <w:sz w:val="16"/>
          <w:szCs w:val="16"/>
          <w:color w:val="auto"/>
        </w:rPr>
        <w:t>had significantly more free time to play SciPlay’s games during the earlier stages of the pandemic, they may have also experienced sustained consumer unease and lower discretionary income. While the increased player engagement SciPlay experienced during the first half of 2020 as a result of the stay-at-home measures across the U.S. receded, SciPlay is still seeing higher player engagement as compared to the pre-COVID-19 time period. SciPlay is not able to predict and quantify the ultimate impact of further COVID-19 developments on their results of operations in future periods.</w:t>
      </w:r>
    </w:p>
    <w:p>
      <w:pPr>
        <w:spacing w:after="0" w:line="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Throughout 2021, SciPlay deployed significant updates across a number of their portfolio games, and it expects to deploy further updates to games in future years. While SciPlay has continued testing in certain international markets, it has not yet achieved the anticipated international market share growth. SciPlay plans to continue to explore opportunities and increase their investments in the expansion of international markets throughout 2022 and in future years.</w:t>
      </w:r>
    </w:p>
    <w:p>
      <w:pPr>
        <w:spacing w:after="0" w:line="106" w:lineRule="exact"/>
        <w:rPr>
          <w:sz w:val="20"/>
          <w:szCs w:val="20"/>
          <w:color w:val="auto"/>
        </w:rPr>
      </w:pPr>
    </w:p>
    <w:p>
      <w:pPr>
        <w:ind w:right="20" w:firstLine="648"/>
        <w:spacing w:after="0" w:line="225" w:lineRule="auto"/>
        <w:rPr>
          <w:sz w:val="20"/>
          <w:szCs w:val="20"/>
          <w:color w:val="auto"/>
        </w:rPr>
      </w:pPr>
      <w:r>
        <w:rPr>
          <w:rFonts w:ascii="Arial" w:cs="Arial" w:eastAsia="Arial" w:hAnsi="Arial"/>
          <w:sz w:val="18"/>
          <w:szCs w:val="18"/>
          <w:color w:val="auto"/>
        </w:rPr>
        <w:t xml:space="preserve">Despite a challenging 2020 comparable that heavily benefited from global stay-at-home measures, 2021 was another record year for total revenue. SciPlay’s year over year total revenue growth of 4% was below the overall industry growth. This result is primarily attributable to the previously disclosed event isolated in </w:t>
      </w:r>
      <w:r>
        <w:rPr>
          <w:rFonts w:ascii="Arial" w:cs="Arial" w:eastAsia="Arial" w:hAnsi="Arial"/>
          <w:sz w:val="18"/>
          <w:szCs w:val="18"/>
          <w:i w:val="1"/>
          <w:iCs w:val="1"/>
          <w:color w:val="auto"/>
        </w:rPr>
        <w:t>Jackpot Party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Casino</w:t>
      </w:r>
      <w:r>
        <w:rPr>
          <w:rFonts w:ascii="Arial" w:cs="Arial" w:eastAsia="Arial" w:hAnsi="Arial"/>
          <w:sz w:val="18"/>
          <w:szCs w:val="18"/>
          <w:color w:val="auto"/>
        </w:rPr>
        <w:t xml:space="preserve"> during the third quarter and a delayed release of the third version of </w:t>
      </w:r>
      <w:r>
        <w:rPr>
          <w:rFonts w:ascii="Arial" w:cs="Arial" w:eastAsia="Arial" w:hAnsi="Arial"/>
          <w:sz w:val="18"/>
          <w:szCs w:val="18"/>
          <w:i w:val="1"/>
          <w:iCs w:val="1"/>
          <w:color w:val="auto"/>
        </w:rPr>
        <w:t>Quick Hit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Slots</w:t>
      </w:r>
      <w:r>
        <w:rPr>
          <w:rFonts w:ascii="Arial" w:cs="Arial" w:eastAsia="Arial" w:hAnsi="Arial"/>
          <w:sz w:val="18"/>
          <w:szCs w:val="18"/>
          <w:color w:val="auto"/>
        </w:rPr>
        <w:t xml:space="preserve">. SciPlay’s fourth quarter of 2021 compared to the third quarter of 2021 total revenue growth of 5% is above overall industry growth, showing a strong rebound from the above noted factors impacting </w:t>
      </w:r>
      <w:r>
        <w:rPr>
          <w:rFonts w:ascii="Arial" w:cs="Arial" w:eastAsia="Arial" w:hAnsi="Arial"/>
          <w:sz w:val="18"/>
          <w:szCs w:val="18"/>
          <w:i w:val="1"/>
          <w:iCs w:val="1"/>
          <w:color w:val="auto"/>
        </w:rPr>
        <w:t>Jackpot Party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Casino</w:t>
      </w:r>
      <w:r>
        <w:rPr>
          <w:rFonts w:ascii="Arial" w:cs="Arial" w:eastAsia="Arial" w:hAnsi="Arial"/>
          <w:sz w:val="18"/>
          <w:szCs w:val="18"/>
          <w:color w:val="auto"/>
        </w:rPr>
        <w:t xml:space="preserve"> and </w:t>
      </w:r>
      <w:r>
        <w:rPr>
          <w:rFonts w:ascii="Arial" w:cs="Arial" w:eastAsia="Arial" w:hAnsi="Arial"/>
          <w:sz w:val="18"/>
          <w:szCs w:val="18"/>
          <w:i w:val="1"/>
          <w:iCs w:val="1"/>
          <w:color w:val="auto"/>
        </w:rPr>
        <w:t>Quick Hit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Slots</w:t>
      </w:r>
      <w:r>
        <w:rPr>
          <w:rFonts w:ascii="Arial" w:cs="Arial" w:eastAsia="Arial" w:hAnsi="Arial"/>
          <w:sz w:val="18"/>
          <w:szCs w:val="18"/>
          <w:color w:val="auto"/>
        </w:rPr>
        <w:t>. We believe that there is an opportunity for continued improvement of operating results in 2022 and beyond, as SciPlay continues to execute on their strategic game updates, enhanced analytics, international expansion, and an upcoming new game release.</w:t>
      </w:r>
    </w:p>
    <w:p>
      <w:pPr>
        <w:spacing w:after="0" w:line="14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July 2021, SciPlay acquired privately held Koukoi, a Finland-based developer and operator of casual mobile games which allows us to expand our casual games portfolio (see Note 10).</w:t>
      </w:r>
    </w:p>
    <w:p>
      <w:pPr>
        <w:spacing w:after="0" w:line="10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March 2022, SciPlay acquired Alictus, a privately held Turkey-based hyper-casual game studio. Alictus has developed and published a number of games that have achieved #1 free game status in the iOS U.S. App Store, including Candy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7" w:name="page68"/>
    <w:bookmarkEnd w:id="67"/>
    <w:p>
      <w:pPr>
        <w:ind w:right="20"/>
        <w:spacing w:after="0" w:line="277" w:lineRule="auto"/>
        <w:rPr>
          <w:sz w:val="20"/>
          <w:szCs w:val="20"/>
          <w:color w:val="auto"/>
        </w:rPr>
      </w:pPr>
      <w:r>
        <w:rPr>
          <w:rFonts w:ascii="Arial" w:cs="Arial" w:eastAsia="Arial" w:hAnsi="Arial"/>
          <w:sz w:val="18"/>
          <w:szCs w:val="18"/>
          <w:color w:val="auto"/>
        </w:rPr>
        <w:t>Challenge 3D, Rob Master 3D, Deep Clean Inc., Oh God!, Money Buster!, and Collect Cubes. The Alictus acquisition allows SciPlay to further scale in the casual market while diversifying revenue streams (see Note 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and Key Performance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100330</wp:posOffset>
            </wp:positionV>
            <wp:extent cx="5812155" cy="1937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1215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w:t>
      </w:r>
    </w:p>
    <w:p>
      <w:pPr>
        <w:spacing w:after="0" w:line="86" w:lineRule="exact"/>
        <w:rPr>
          <w:sz w:val="20"/>
          <w:szCs w:val="20"/>
          <w:color w:val="auto"/>
        </w:rPr>
      </w:pPr>
    </w:p>
    <w:p>
      <w:pPr>
        <w:ind w:left="1080" w:right="1140"/>
        <w:spacing w:after="0" w:line="236" w:lineRule="auto"/>
        <w:rPr>
          <w:sz w:val="20"/>
          <w:szCs w:val="20"/>
          <w:color w:val="auto"/>
        </w:rPr>
      </w:pPr>
      <w:r>
        <w:rPr>
          <w:rFonts w:ascii="Arial" w:cs="Arial" w:eastAsia="Arial" w:hAnsi="Arial"/>
          <w:sz w:val="14"/>
          <w:szCs w:val="14"/>
          <w:color w:val="auto"/>
        </w:rPr>
        <w:t>1 - The year ended December 31, 2019 includes charges of $10 million for intellectual property royalties paid to the Gaming business segment, which are no longer being paid as of May 7, 2019 in connection with the IP License Agreement.</w:t>
      </w: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6"/>
                <w:szCs w:val="16"/>
                <w:b w:val="1"/>
                <w:bCs w:val="1"/>
                <w:color w:val="auto"/>
              </w:rPr>
              <w:t>(in millions, except ARPDAU)</w:t>
            </w:r>
          </w:p>
        </w:tc>
        <w:tc>
          <w:tcPr>
            <w:tcW w:w="280" w:type="dxa"/>
            <w:vAlign w:val="bottom"/>
          </w:tcPr>
          <w:p>
            <w:pPr>
              <w:spacing w:after="0"/>
              <w:rPr>
                <w:sz w:val="16"/>
                <w:szCs w:val="16"/>
                <w:color w:val="auto"/>
              </w:rPr>
            </w:pPr>
          </w:p>
        </w:tc>
        <w:tc>
          <w:tcPr>
            <w:tcW w:w="2680" w:type="dxa"/>
            <w:vAlign w:val="bottom"/>
            <w:gridSpan w:val="6"/>
          </w:tcPr>
          <w:p>
            <w:pPr>
              <w:jc w:val="right"/>
              <w:ind w:right="50"/>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40" w:type="dxa"/>
            <w:vAlign w:val="bottom"/>
            <w:gridSpan w:val="3"/>
          </w:tcPr>
          <w:p>
            <w:pPr>
              <w:ind w:left="360"/>
              <w:spacing w:after="0"/>
              <w:rPr>
                <w:sz w:val="20"/>
                <w:szCs w:val="20"/>
                <w:color w:val="auto"/>
              </w:rPr>
            </w:pPr>
            <w:r>
              <w:rPr>
                <w:rFonts w:ascii="Arial" w:cs="Arial" w:eastAsia="Arial" w:hAnsi="Arial"/>
                <w:sz w:val="16"/>
                <w:szCs w:val="16"/>
                <w:b w:val="1"/>
                <w:bCs w:val="1"/>
                <w:color w:val="auto"/>
              </w:rPr>
              <w:t>Variance</w:t>
            </w: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2021 vs. 2020</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2020 vs. 2019</w:t>
            </w:r>
          </w:p>
        </w:tc>
        <w:tc>
          <w:tcPr>
            <w:tcW w:w="580" w:type="dxa"/>
            <w:vAlign w:val="bottom"/>
            <w:tcBorders>
              <w:bottom w:val="single" w:sz="8" w:color="auto"/>
            </w:tcBorders>
          </w:tcPr>
          <w:p>
            <w:pPr>
              <w:spacing w:after="0"/>
              <w:rPr>
                <w:sz w:val="17"/>
                <w:szCs w:val="17"/>
                <w:color w:val="auto"/>
              </w:rPr>
            </w:pPr>
          </w:p>
        </w:tc>
      </w:tr>
      <w:tr>
        <w:trPr>
          <w:trHeight w:val="226"/>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340" w:type="dxa"/>
            <w:vAlign w:val="bottom"/>
            <w:gridSpan w:val="2"/>
          </w:tcPr>
          <w:p>
            <w:pPr>
              <w:ind w:left="120"/>
              <w:spacing w:after="0"/>
              <w:rPr>
                <w:sz w:val="20"/>
                <w:szCs w:val="20"/>
                <w:color w:val="auto"/>
              </w:rPr>
            </w:pPr>
            <w:r>
              <w:rPr>
                <w:rFonts w:ascii="Arial" w:cs="Arial" w:eastAsia="Arial" w:hAnsi="Arial"/>
                <w:sz w:val="18"/>
                <w:szCs w:val="18"/>
                <w:color w:val="auto"/>
              </w:rPr>
              <w:t>Mobile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391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91"/>
              <w:spacing w:after="0"/>
              <w:rPr>
                <w:sz w:val="20"/>
                <w:szCs w:val="20"/>
                <w:color w:val="auto"/>
              </w:rPr>
            </w:pPr>
            <w:r>
              <w:rPr>
                <w:rFonts w:ascii="Arial" w:cs="Arial" w:eastAsia="Arial" w:hAnsi="Arial"/>
                <w:sz w:val="18"/>
                <w:szCs w:val="18"/>
                <w:color w:val="auto"/>
              </w:rPr>
              <w:t>31</w:t>
            </w:r>
          </w:p>
        </w:tc>
        <w:tc>
          <w:tcPr>
            <w:tcW w:w="60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11"/>
              <w:spacing w:after="0"/>
              <w:rPr>
                <w:sz w:val="20"/>
                <w:szCs w:val="20"/>
                <w:color w:val="auto"/>
              </w:rPr>
            </w:pPr>
            <w:r>
              <w:rPr>
                <w:rFonts w:ascii="Arial" w:cs="Arial" w:eastAsia="Arial" w:hAnsi="Arial"/>
                <w:sz w:val="18"/>
                <w:szCs w:val="18"/>
                <w:color w:val="auto"/>
              </w:rPr>
              <w:t>115</w:t>
            </w:r>
          </w:p>
        </w:tc>
        <w:tc>
          <w:tcPr>
            <w:tcW w:w="58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Web and other</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20" w:type="dxa"/>
            <w:vAlign w:val="bottom"/>
          </w:tcPr>
          <w:p>
            <w:pPr>
              <w:spacing w:after="0"/>
              <w:rPr>
                <w:sz w:val="19"/>
                <w:szCs w:val="19"/>
                <w:color w:val="auto"/>
              </w:rPr>
            </w:pPr>
          </w:p>
        </w:tc>
        <w:tc>
          <w:tcPr>
            <w:tcW w:w="23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466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91"/>
              <w:spacing w:after="0"/>
              <w:rPr>
                <w:sz w:val="20"/>
                <w:szCs w:val="20"/>
                <w:color w:val="auto"/>
              </w:rPr>
            </w:pPr>
            <w:r>
              <w:rPr>
                <w:rFonts w:ascii="Arial" w:cs="Arial" w:eastAsia="Arial" w:hAnsi="Arial"/>
                <w:sz w:val="18"/>
                <w:szCs w:val="18"/>
                <w:color w:val="auto"/>
              </w:rPr>
              <w:t>24</w:t>
            </w:r>
          </w:p>
        </w:tc>
        <w:tc>
          <w:tcPr>
            <w:tcW w:w="60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11"/>
              <w:spacing w:after="0"/>
              <w:rPr>
                <w:sz w:val="20"/>
                <w:szCs w:val="20"/>
                <w:color w:val="auto"/>
              </w:rPr>
            </w:pPr>
            <w:r>
              <w:rPr>
                <w:rFonts w:ascii="Arial" w:cs="Arial" w:eastAsia="Arial" w:hAnsi="Arial"/>
                <w:sz w:val="18"/>
                <w:szCs w:val="18"/>
                <w:color w:val="auto"/>
              </w:rPr>
              <w:t>116</w:t>
            </w:r>
          </w:p>
        </w:tc>
        <w:tc>
          <w:tcPr>
            <w:tcW w:w="5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KPIs: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Mobile Penetration</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2 pp</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 pp</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20" w:type="dxa"/>
            <w:vAlign w:val="bottom"/>
          </w:tcPr>
          <w:p>
            <w:pPr>
              <w:spacing w:after="0"/>
              <w:rPr>
                <w:sz w:val="19"/>
                <w:szCs w:val="19"/>
                <w:color w:val="auto"/>
              </w:rPr>
            </w:pPr>
          </w:p>
        </w:tc>
        <w:tc>
          <w:tcPr>
            <w:tcW w:w="234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Average MAU</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ind w:right="631"/>
              <w:spacing w:after="0"/>
              <w:rPr>
                <w:sz w:val="20"/>
                <w:szCs w:val="20"/>
                <w:color w:val="auto"/>
              </w:rPr>
            </w:pPr>
            <w:r>
              <w:rPr>
                <w:rFonts w:ascii="Arial" w:cs="Arial" w:eastAsia="Arial" w:hAnsi="Arial"/>
                <w:sz w:val="18"/>
                <w:szCs w:val="18"/>
                <w:color w:val="auto"/>
              </w:rPr>
              <w:t>(1.2)</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ind w:left="280"/>
              <w:spacing w:after="0"/>
              <w:rPr>
                <w:sz w:val="20"/>
                <w:szCs w:val="20"/>
                <w:color w:val="auto"/>
              </w:rPr>
            </w:pPr>
            <w:r>
              <w:rPr>
                <w:rFonts w:ascii="Arial" w:cs="Arial" w:eastAsia="Arial" w:hAnsi="Arial"/>
                <w:sz w:val="18"/>
                <w:szCs w:val="18"/>
                <w:color w:val="auto"/>
              </w:rPr>
              <w:t>(0.6)</w:t>
            </w: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Average DAU</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0" w:type="dxa"/>
            <w:vAlign w:val="bottom"/>
          </w:tcPr>
          <w:p>
            <w:pPr>
              <w:spacing w:after="0"/>
              <w:rPr>
                <w:sz w:val="19"/>
                <w:szCs w:val="19"/>
                <w:color w:val="auto"/>
              </w:rPr>
            </w:pPr>
          </w:p>
        </w:tc>
        <w:tc>
          <w:tcPr>
            <w:tcW w:w="234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ARPDAU</w:t>
            </w:r>
            <w:r>
              <w:rPr>
                <w:rFonts w:ascii="Arial" w:cs="Arial" w:eastAsia="Arial" w:hAnsi="Arial"/>
                <w:sz w:val="23"/>
                <w:szCs w:val="23"/>
                <w:color w:val="auto"/>
                <w:vertAlign w:val="superscript"/>
              </w:rPr>
              <w:t>(4)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0.48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91"/>
              <w:spacing w:after="0"/>
              <w:rPr>
                <w:sz w:val="20"/>
                <w:szCs w:val="20"/>
                <w:color w:val="auto"/>
              </w:rPr>
            </w:pPr>
            <w:r>
              <w:rPr>
                <w:rFonts w:ascii="Arial" w:cs="Arial" w:eastAsia="Arial" w:hAnsi="Arial"/>
                <w:sz w:val="18"/>
                <w:szCs w:val="18"/>
                <w:color w:val="auto"/>
              </w:rPr>
              <w:t>0.11</w:t>
            </w:r>
          </w:p>
        </w:tc>
        <w:tc>
          <w:tcPr>
            <w:tcW w:w="60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11"/>
              <w:spacing w:after="0"/>
              <w:rPr>
                <w:sz w:val="20"/>
                <w:szCs w:val="20"/>
                <w:color w:val="auto"/>
              </w:rPr>
            </w:pPr>
            <w:r>
              <w:rPr>
                <w:rFonts w:ascii="Arial" w:cs="Arial" w:eastAsia="Arial" w:hAnsi="Arial"/>
                <w:sz w:val="18"/>
                <w:szCs w:val="18"/>
                <w:color w:val="auto"/>
              </w:rPr>
              <w:t>0.12</w:t>
            </w:r>
          </w:p>
        </w:tc>
        <w:tc>
          <w:tcPr>
            <w:tcW w:w="5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Average MPUs</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0" w:type="dxa"/>
            <w:vAlign w:val="bottom"/>
          </w:tcPr>
          <w:p>
            <w:pPr>
              <w:spacing w:after="0"/>
              <w:rPr>
                <w:sz w:val="19"/>
                <w:szCs w:val="19"/>
                <w:color w:val="auto"/>
              </w:rPr>
            </w:pPr>
          </w:p>
        </w:tc>
        <w:tc>
          <w:tcPr>
            <w:tcW w:w="234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AMRPPU</w:t>
            </w:r>
            <w:r>
              <w:rPr>
                <w:rFonts w:ascii="Arial" w:cs="Arial" w:eastAsia="Arial" w:hAnsi="Arial"/>
                <w:sz w:val="23"/>
                <w:szCs w:val="23"/>
                <w:color w:val="auto"/>
                <w:vertAlign w:val="superscript"/>
              </w:rPr>
              <w:t>(6)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95.26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92.75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82.19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691"/>
              <w:spacing w:after="0"/>
              <w:rPr>
                <w:sz w:val="20"/>
                <w:szCs w:val="20"/>
                <w:color w:val="auto"/>
              </w:rPr>
            </w:pPr>
            <w:r>
              <w:rPr>
                <w:rFonts w:ascii="Arial" w:cs="Arial" w:eastAsia="Arial" w:hAnsi="Arial"/>
                <w:sz w:val="18"/>
                <w:szCs w:val="18"/>
                <w:color w:val="auto"/>
              </w:rPr>
              <w:t>2.51</w:t>
            </w:r>
          </w:p>
        </w:tc>
        <w:tc>
          <w:tcPr>
            <w:tcW w:w="60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11"/>
              <w:spacing w:after="0"/>
              <w:rPr>
                <w:sz w:val="20"/>
                <w:szCs w:val="20"/>
                <w:color w:val="auto"/>
              </w:rPr>
            </w:pPr>
            <w:r>
              <w:rPr>
                <w:rFonts w:ascii="Arial" w:cs="Arial" w:eastAsia="Arial" w:hAnsi="Arial"/>
                <w:sz w:val="18"/>
                <w:szCs w:val="18"/>
                <w:color w:val="auto"/>
              </w:rPr>
              <w:t>10.56</w:t>
            </w:r>
          </w:p>
        </w:tc>
        <w:tc>
          <w:tcPr>
            <w:tcW w:w="5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00"/>
              <w:spacing w:after="0" w:line="230" w:lineRule="exact"/>
              <w:rPr>
                <w:sz w:val="20"/>
                <w:szCs w:val="20"/>
                <w:color w:val="auto"/>
              </w:rPr>
            </w:pPr>
            <w:r>
              <w:rPr>
                <w:rFonts w:ascii="Arial" w:cs="Arial" w:eastAsia="Arial" w:hAnsi="Arial"/>
                <w:sz w:val="18"/>
                <w:szCs w:val="18"/>
                <w:color w:val="auto"/>
              </w:rPr>
              <w:t>Payer Conversion Rate</w:t>
            </w:r>
            <w:r>
              <w:rPr>
                <w:rFonts w:ascii="Arial" w:cs="Arial" w:eastAsia="Arial" w:hAnsi="Arial"/>
                <w:sz w:val="23"/>
                <w:szCs w:val="23"/>
                <w:color w:val="auto"/>
                <w:vertAlign w:val="superscript"/>
              </w:rPr>
              <w:t>(7)</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1.4 pp</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rPr>
              <w:t>1.1 pp</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bl>
    <w:p>
      <w:pPr>
        <w:ind w:left="60"/>
        <w:spacing w:after="0" w:line="211" w:lineRule="auto"/>
        <w:rPr>
          <w:sz w:val="20"/>
          <w:szCs w:val="20"/>
          <w:color w:val="auto"/>
        </w:rPr>
      </w:pPr>
      <w:r>
        <w:rPr>
          <w:rFonts w:ascii="Arial" w:cs="Arial" w:eastAsia="Arial" w:hAnsi="Arial"/>
          <w:sz w:val="14"/>
          <w:szCs w:val="14"/>
          <w:color w:val="auto"/>
        </w:rPr>
        <w:t>nm = not meaningful.</w:t>
      </w:r>
    </w:p>
    <w:p>
      <w:pPr>
        <w:ind w:left="60"/>
        <w:spacing w:after="0" w:line="201" w:lineRule="auto"/>
        <w:rPr>
          <w:sz w:val="20"/>
          <w:szCs w:val="20"/>
          <w:color w:val="auto"/>
        </w:rPr>
      </w:pPr>
      <w:r>
        <w:rPr>
          <w:rFonts w:ascii="Arial" w:cs="Arial" w:eastAsia="Arial" w:hAnsi="Arial"/>
          <w:sz w:val="14"/>
          <w:szCs w:val="14"/>
          <w:color w:val="auto"/>
        </w:rPr>
        <w:t>pp = percentage points.</w:t>
      </w:r>
    </w:p>
    <w:p>
      <w:pPr>
        <w:ind w:left="260" w:hanging="207"/>
        <w:spacing w:after="0" w:line="201"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Mobile penetration is defined as the percentage of business to consumer SciPlay revenue generated from mobile platforms.</w:t>
      </w:r>
    </w:p>
    <w:p>
      <w:pPr>
        <w:ind w:left="60" w:right="140" w:hanging="7"/>
        <w:spacing w:after="0" w:line="201" w:lineRule="auto"/>
        <w:tabs>
          <w:tab w:leader="none" w:pos="264"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MAU = Monthly Active Users is a count of visitors to our sites during a month. An individual who plays multiple games or from multiple devices may, in certain circumstances, be counted more than once. However, we use third-party data to limit the occurrence of multiple counting.</w:t>
      </w:r>
    </w:p>
    <w:p>
      <w:pPr>
        <w:ind w:left="60" w:right="160" w:hanging="7"/>
        <w:spacing w:after="0" w:line="201" w:lineRule="auto"/>
        <w:tabs>
          <w:tab w:leader="none" w:pos="264" w:val="left"/>
        </w:tabs>
        <w:numPr>
          <w:ilvl w:val="0"/>
          <w:numId w:val="28"/>
        </w:numPr>
        <w:rPr>
          <w:rFonts w:ascii="Arial" w:cs="Arial" w:eastAsia="Arial" w:hAnsi="Arial"/>
          <w:sz w:val="14"/>
          <w:szCs w:val="14"/>
          <w:color w:val="auto"/>
        </w:rPr>
      </w:pPr>
      <w:r>
        <w:rPr>
          <w:rFonts w:ascii="Arial" w:cs="Arial" w:eastAsia="Arial" w:hAnsi="Arial"/>
          <w:sz w:val="14"/>
          <w:szCs w:val="14"/>
          <w:color w:val="auto"/>
        </w:rPr>
        <w:t>DAU = Daily Active Users is a count of visitors to our sites during a day. An individual who plays multiple games or from multiple devices may, in certain circumstances, be counted more than once. However, we use third-party data to limit the occurrence of multiple counting.</w:t>
      </w:r>
    </w:p>
    <w:p>
      <w:pPr>
        <w:ind w:left="260" w:hanging="207"/>
        <w:spacing w:after="0" w:line="201"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ARPDAU = Average revenue per DAU is calculated by dividing revenue for a period by the DAU for the period by the number of days for the period.</w:t>
      </w:r>
    </w:p>
    <w:p>
      <w:pPr>
        <w:ind w:left="260" w:hanging="207"/>
        <w:spacing w:after="0" w:line="201"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MPU = Monthly Paying Users is the number of individual users who made an in-game purchase during a particular month.</w:t>
      </w:r>
    </w:p>
    <w:p>
      <w:pPr>
        <w:ind w:left="260" w:hanging="207"/>
        <w:spacing w:after="0" w:line="201"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AMRPPU = Average Monthly Revenue Per Paying User is calculated by dividing average monthly revenue by average MPUs for the applicable time period.</w:t>
      </w:r>
    </w:p>
    <w:p>
      <w:pPr>
        <w:ind w:left="260" w:hanging="207"/>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Payer conversion rate is calculated by dividing average MPU for the period by the average MAU for the same period.</w:t>
      </w:r>
    </w:p>
    <w:p>
      <w:pPr>
        <w:spacing w:after="0" w:line="250" w:lineRule="exact"/>
        <w:rPr>
          <w:sz w:val="20"/>
          <w:szCs w:val="20"/>
          <w:color w:val="auto"/>
        </w:rPr>
      </w:pPr>
    </w:p>
    <w:p>
      <w:pPr>
        <w:ind w:right="5540"/>
        <w:spacing w:after="0" w:line="414" w:lineRule="auto"/>
        <w:rPr>
          <w:sz w:val="20"/>
          <w:szCs w:val="20"/>
          <w:color w:val="auto"/>
        </w:rPr>
      </w:pPr>
      <w:r>
        <w:rPr>
          <w:rFonts w:ascii="Arial" w:cs="Arial" w:eastAsia="Arial" w:hAnsi="Arial"/>
          <w:sz w:val="18"/>
          <w:szCs w:val="18"/>
          <w:b w:val="1"/>
          <w:bCs w:val="1"/>
          <w:i w:val="1"/>
          <w:iCs w:val="1"/>
          <w:color w:val="auto"/>
        </w:rPr>
        <w:t xml:space="preserve">Year Ended December 31, 2021 Compared to Year Ended December 31, 2020 </w:t>
      </w:r>
      <w:r>
        <w:rPr>
          <w:rFonts w:ascii="Arial" w:cs="Arial" w:eastAsia="Arial" w:hAnsi="Arial"/>
          <w:sz w:val="18"/>
          <w:szCs w:val="18"/>
          <w:i w:val="1"/>
          <w:iCs w:val="1"/>
          <w:color w:val="auto"/>
        </w:rPr>
        <w:t>Revenue</w:t>
      </w:r>
    </w:p>
    <w:p>
      <w:pPr>
        <w:spacing w:after="0" w:line="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Mobile platform revenue increased $31 million or 6 percent primarily due to elevated player engagement from continued COVID-19 prevention measures during the first quarter of 2021 compared to limited COVID-19-prevention measures for most of the first quarter of 2020 in addition to the introduction of new content and features resulting in increased paying player interaction.</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68" w:name="page69"/>
    <w:bookmarkEnd w:id="68"/>
    <w:p>
      <w:pPr>
        <w:ind w:left="660"/>
        <w:spacing w:after="0"/>
        <w:rPr>
          <w:sz w:val="20"/>
          <w:szCs w:val="20"/>
          <w:color w:val="auto"/>
        </w:rPr>
      </w:pPr>
      <w:r>
        <w:rPr>
          <w:rFonts w:ascii="Arial" w:cs="Arial" w:eastAsia="Arial" w:hAnsi="Arial"/>
          <w:sz w:val="16"/>
          <w:szCs w:val="16"/>
          <w:color w:val="auto"/>
        </w:rPr>
        <w:t>The increase in mobile penetration percentage primarily reflects a continued trend of players migrating from web to mobile platforms to play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games.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Average MAU and average DAU decreased due to the turnover in users. Consequently, ARPDAU increased as a function of lower average DAU. AMRPPU increased while Average MPU was consistent with prior year due to introduction of new content and features resulting in increased paying player interaction.</w:t>
      </w:r>
    </w:p>
    <w:p>
      <w:pPr>
        <w:spacing w:after="0" w:line="1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All-time high payer conversion rate was due to the growing popularity of SciPlay’s games while focusing on live operations to enhance game play and engagement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44"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Operating expenses increased by $48 million primarily due to a $25 million legal settlement charge associated with the Washington State Matter (see Note 20), higher compensation and benefit costs related to increases in headcount, and an increase in D&amp;A.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AEBITDA</w:t>
      </w:r>
    </w:p>
    <w:p>
      <w:pPr>
        <w:spacing w:after="0" w:line="15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AEBITDA decreased by $3 million or 2 percent primarily due to an increase in salaries and benefits, as described above, which was partially offset by an increase in revenue. AEBITDA margin decreased by 2.0 percentage points to 30.6%.</w:t>
      </w:r>
    </w:p>
    <w:p>
      <w:pPr>
        <w:spacing w:after="0" w:line="103" w:lineRule="exact"/>
        <w:rPr>
          <w:sz w:val="20"/>
          <w:szCs w:val="20"/>
          <w:color w:val="auto"/>
        </w:rPr>
      </w:pPr>
    </w:p>
    <w:p>
      <w:pPr>
        <w:ind w:right="5540"/>
        <w:spacing w:after="0" w:line="414" w:lineRule="auto"/>
        <w:rPr>
          <w:sz w:val="20"/>
          <w:szCs w:val="20"/>
          <w:color w:val="auto"/>
        </w:rPr>
      </w:pPr>
      <w:r>
        <w:rPr>
          <w:rFonts w:ascii="Arial" w:cs="Arial" w:eastAsia="Arial" w:hAnsi="Arial"/>
          <w:sz w:val="18"/>
          <w:szCs w:val="18"/>
          <w:b w:val="1"/>
          <w:bCs w:val="1"/>
          <w:i w:val="1"/>
          <w:iCs w:val="1"/>
          <w:color w:val="auto"/>
        </w:rPr>
        <w:t xml:space="preserve">Year Ended December 31, 2020 Compared to Year Ended December 31, 2019 </w:t>
      </w:r>
      <w:r>
        <w:rPr>
          <w:rFonts w:ascii="Arial" w:cs="Arial" w:eastAsia="Arial" w:hAnsi="Arial"/>
          <w:sz w:val="18"/>
          <w:szCs w:val="18"/>
          <w:i w:val="1"/>
          <w:iCs w:val="1"/>
          <w:color w:val="auto"/>
        </w:rPr>
        <w:t>Revenue</w:t>
      </w:r>
    </w:p>
    <w:p>
      <w:pPr>
        <w:spacing w:after="0" w:line="1"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6"/>
          <w:szCs w:val="16"/>
          <w:color w:val="auto"/>
        </w:rPr>
        <w:t xml:space="preserve">Mobile platform revenue increased $115 million or 29% primarily due to increased player engagement as a result of the stay at home measures across North America and other regions and ongoing popularity of </w:t>
      </w:r>
      <w:r>
        <w:rPr>
          <w:rFonts w:ascii="Arial" w:cs="Arial" w:eastAsia="Arial" w:hAnsi="Arial"/>
          <w:sz w:val="16"/>
          <w:szCs w:val="16"/>
          <w:i w:val="1"/>
          <w:iCs w:val="1"/>
          <w:color w:val="auto"/>
        </w:rPr>
        <w:t>Jackpot Party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Casino</w:t>
      </w:r>
      <w:r>
        <w:rPr>
          <w:rFonts w:ascii="Arial" w:cs="Arial" w:eastAsia="Arial" w:hAnsi="Arial"/>
          <w:sz w:val="16"/>
          <w:szCs w:val="16"/>
          <w:color w:val="auto"/>
        </w:rPr>
        <w:t xml:space="preserve">, </w:t>
      </w:r>
      <w:r>
        <w:rPr>
          <w:rFonts w:ascii="Arial" w:cs="Arial" w:eastAsia="Arial" w:hAnsi="Arial"/>
          <w:sz w:val="16"/>
          <w:szCs w:val="16"/>
          <w:i w:val="1"/>
          <w:iCs w:val="1"/>
          <w:color w:val="auto"/>
        </w:rPr>
        <w:t>Gold Fish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Casino</w:t>
      </w:r>
      <w:r>
        <w:rPr>
          <w:rFonts w:ascii="Arial" w:cs="Arial" w:eastAsia="Arial" w:hAnsi="Arial"/>
          <w:sz w:val="16"/>
          <w:szCs w:val="16"/>
          <w:color w:val="auto"/>
        </w:rPr>
        <w:t xml:space="preserve">, </w:t>
      </w:r>
      <w:r>
        <w:rPr>
          <w:rFonts w:ascii="Arial" w:cs="Arial" w:eastAsia="Arial" w:hAnsi="Arial"/>
          <w:sz w:val="16"/>
          <w:szCs w:val="16"/>
          <w:i w:val="1"/>
          <w:iCs w:val="1"/>
          <w:color w:val="auto"/>
        </w:rPr>
        <w:t>Quick Hit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Slots</w:t>
      </w:r>
      <w:r>
        <w:rPr>
          <w:rFonts w:ascii="Arial" w:cs="Arial" w:eastAsia="Arial" w:hAnsi="Arial"/>
          <w:sz w:val="16"/>
          <w:szCs w:val="16"/>
          <w:color w:val="auto"/>
        </w:rPr>
        <w:t xml:space="preserve">, and </w:t>
      </w:r>
      <w:r>
        <w:rPr>
          <w:rFonts w:ascii="Arial" w:cs="Arial" w:eastAsia="Arial" w:hAnsi="Arial"/>
          <w:sz w:val="16"/>
          <w:szCs w:val="16"/>
          <w:i w:val="1"/>
          <w:iCs w:val="1"/>
          <w:color w:val="auto"/>
        </w:rPr>
        <w:t>MONOPOLY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Slots</w:t>
      </w:r>
      <w:r>
        <w:rPr>
          <w:rFonts w:ascii="Arial" w:cs="Arial" w:eastAsia="Arial" w:hAnsi="Arial"/>
          <w:sz w:val="16"/>
          <w:szCs w:val="16"/>
          <w:color w:val="auto"/>
        </w:rPr>
        <w:t>.</w:t>
      </w:r>
    </w:p>
    <w:p>
      <w:pPr>
        <w:spacing w:after="0" w:line="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mobile penetration percentage primarily reflects a continued trend of players migrating from web to mobile platforms to play SciPlay’s games.</w:t>
      </w:r>
    </w:p>
    <w:p>
      <w:pPr>
        <w:spacing w:after="0" w:line="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Average MAU decreased and average DAU stayed relatively flat due to the turnover in users while paying users stayed consistent. Consequently, ARPDAU increased due to stay at home measures across North America and other regions, introduction of new content and features, and ongoing popularity of our games.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payer conversion rates was due to the growing popularity of our games and increased interaction with the games by our players as a result of the introduction of new content and features into SciPlay’s games.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4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Operating expenses increased by $38 million primarily due to a $36 million increase primarily related to salaries and benefits, stock-based incentive compensation related to the attainment of higher performance metrics and professional services fees coupled with a $27 million increase in cost of revenue correlated with revenue growth which were partially offset by a $10 million decrease in IP charges paid to the Gaming business segment, which ended as of May 7, 2019 in connection with the IP License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AEBITDA</w:t>
      </w:r>
    </w:p>
    <w:p>
      <w:pPr>
        <w:spacing w:after="0" w:line="15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AEBITDA increased by $67 million or 55% primarily due to continued growth in revenue (as described above) and improved operating leverage while AEBITDA margin increased by 6.1 percentage points to 32.4%.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iGaming</w:t>
      </w:r>
    </w:p>
    <w:p>
      <w:pPr>
        <w:spacing w:after="0" w:line="162" w:lineRule="exact"/>
        <w:rPr>
          <w:sz w:val="20"/>
          <w:szCs w:val="20"/>
          <w:color w:val="auto"/>
        </w:rPr>
      </w:pPr>
    </w:p>
    <w:p>
      <w:pPr>
        <w:ind w:right="100" w:firstLine="648"/>
        <w:spacing w:after="0" w:line="274" w:lineRule="auto"/>
        <w:rPr>
          <w:sz w:val="20"/>
          <w:szCs w:val="20"/>
          <w:color w:val="auto"/>
        </w:rPr>
      </w:pPr>
      <w:r>
        <w:rPr>
          <w:rFonts w:ascii="Arial" w:cs="Arial" w:eastAsia="Arial" w:hAnsi="Arial"/>
          <w:sz w:val="16"/>
          <w:szCs w:val="16"/>
          <w:color w:val="auto"/>
        </w:rPr>
        <w:t>We renamed our Digital business segment to iGaming business segment and the presentation was recast for all periods to exclude the Sports Betting business due to the pending sale, as described in Note 1. Our iGaming business segment provides a comprehensive suite of digital gaming content, including digital RMG, distribution platforms, content, products and services. We derive revenue from our content aggregation platforms, including Open Gaming System, remote gaming servers, and various other platforms, which can deliver a wide spectrum of internally developed and branded casino-style games and popular third-party provider casino-style games to gaming operators. We also provide the Open Platform System which offers a wide range of reporting and administrative functions and tools providing operators full control over all areas of digital gaming operations. Generally, we host the play of our game content on our centrally located servers that are integrated with the online casino operators’ websites.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 update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16"/>
          <w:szCs w:val="16"/>
          <w:color w:val="auto"/>
        </w:rPr>
        <w:t>We continue to expand our customer base and capitalize on growth in the U.S. by leveraging our industry leading platforms, content and solutions.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August of 2021, we acquired Lightning Box, which expanded our iGaming content portfolio.</w:t>
      </w:r>
    </w:p>
    <w:p>
      <w:pPr>
        <w:spacing w:after="0" w:line="14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November 2021, we acquired Authentic Gaming, a premium provider of live casino solutions, providing a foothold in a key vertical and the fast growing part of the iGaming market. The acquisition enhances our premium product offering and is highly synergistic with our leading iGaming platform and our land-based and proprietary table game content</w:t>
      </w:r>
    </w:p>
    <w:p>
      <w:pPr>
        <w:spacing w:after="0" w:line="116" w:lineRule="exact"/>
        <w:rPr>
          <w:sz w:val="20"/>
          <w:szCs w:val="20"/>
          <w:color w:val="auto"/>
        </w:rPr>
      </w:pPr>
    </w:p>
    <w:p>
      <w:pPr>
        <w:ind w:right="1200" w:firstLine="648"/>
        <w:spacing w:after="0" w:line="449" w:lineRule="auto"/>
        <w:rPr>
          <w:sz w:val="20"/>
          <w:szCs w:val="20"/>
          <w:color w:val="auto"/>
        </w:rPr>
      </w:pPr>
      <w:r>
        <w:rPr>
          <w:rFonts w:ascii="Arial" w:cs="Arial" w:eastAsia="Arial" w:hAnsi="Arial"/>
          <w:sz w:val="18"/>
          <w:szCs w:val="18"/>
          <w:color w:val="auto"/>
        </w:rPr>
        <w:t xml:space="preserve">In December 2021, we acquired Elk Studios, a leading European game developer, which expanded our iGaming content portfolio. </w:t>
      </w:r>
      <w:r>
        <w:rPr>
          <w:rFonts w:ascii="Arial" w:cs="Arial" w:eastAsia="Arial" w:hAnsi="Arial"/>
          <w:sz w:val="18"/>
          <w:szCs w:val="18"/>
          <w:i w:val="1"/>
          <w:i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-27940</wp:posOffset>
            </wp:positionV>
            <wp:extent cx="5812155" cy="1937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1215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520"/>
        <w:spacing w:after="0" w:line="406" w:lineRule="auto"/>
        <w:rPr>
          <w:sz w:val="20"/>
          <w:szCs w:val="20"/>
          <w:color w:val="auto"/>
        </w:rPr>
      </w:pPr>
      <w:r>
        <w:rPr>
          <w:rFonts w:ascii="Arial" w:cs="Arial" w:eastAsia="Arial" w:hAnsi="Arial"/>
          <w:sz w:val="18"/>
          <w:szCs w:val="18"/>
          <w:b w:val="1"/>
          <w:bCs w:val="1"/>
          <w:i w:val="1"/>
          <w:iCs w:val="1"/>
          <w:color w:val="auto"/>
        </w:rPr>
        <w:t xml:space="preserve">Year Ended December 31, 2021 Compared to Year Ended December 31, 2020 </w:t>
      </w:r>
      <w:r>
        <w:rPr>
          <w:rFonts w:ascii="Arial" w:cs="Arial" w:eastAsia="Arial" w:hAnsi="Arial"/>
          <w:sz w:val="18"/>
          <w:szCs w:val="18"/>
          <w:i w:val="1"/>
          <w:iCs w:val="1"/>
          <w:color w:val="auto"/>
        </w:rPr>
        <w:t>Revenue</w:t>
      </w:r>
    </w:p>
    <w:p>
      <w:pPr>
        <w:spacing w:after="0" w:line="2"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 xml:space="preserve">Overall, iGaming revenue increased by $35 million or 18% due to iGaming market expansion in the U.S. and higher player activity including original content launches during 2021. The revenue increase was partially offset by the winding down of our </w:t>
      </w:r>
      <w:r>
        <w:rPr>
          <w:rFonts w:ascii="Arial" w:cs="Arial" w:eastAsia="Arial" w:hAnsi="Arial"/>
          <w:sz w:val="18"/>
          <w:szCs w:val="18"/>
          <w:i w:val="1"/>
          <w:iCs w:val="1"/>
          <w:color w:val="auto"/>
        </w:rPr>
        <w:t>SG Universe</w:t>
      </w:r>
      <w:r>
        <w:rPr>
          <w:rFonts w:ascii="Arial" w:cs="Arial" w:eastAsia="Arial" w:hAnsi="Arial"/>
          <w:sz w:val="18"/>
          <w:szCs w:val="18"/>
          <w:color w:val="auto"/>
        </w:rPr>
        <w:t>® services, which had a $10 million impact on our 2021 revenue or 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and AEBITDA</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Operating expenses increased primarily due to higher costs of revenue correlated with the increase in revenue. AEBITDA increased by</w:t>
      </w:r>
    </w:p>
    <w:p>
      <w:pPr>
        <w:spacing w:after="0" w:line="3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$17 million or 29% primarily due to the increase in revenue described above. AEBITDA margin for the year ended December 31, 2021 increased by 2.8 percentage points to 33%.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144"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 xml:space="preserve">Overall iGaming revenue increased by $17 million or 10% primarily due to increased iGaming activities that benefited from increased free time and stay at home measures as a result of COVID-19 disruptions. The revenue increase was partially offset by the winding down of our </w:t>
      </w:r>
      <w:r>
        <w:rPr>
          <w:rFonts w:ascii="Arial" w:cs="Arial" w:eastAsia="Arial" w:hAnsi="Arial"/>
          <w:sz w:val="18"/>
          <w:szCs w:val="18"/>
          <w:i w:val="1"/>
          <w:iCs w:val="1"/>
          <w:color w:val="auto"/>
        </w:rPr>
        <w:t>SG Universe</w:t>
      </w:r>
      <w:r>
        <w:rPr>
          <w:rFonts w:ascii="Arial" w:cs="Arial" w:eastAsia="Arial" w:hAnsi="Arial"/>
          <w:sz w:val="18"/>
          <w:szCs w:val="18"/>
          <w:color w:val="auto"/>
        </w:rPr>
        <w:t>® services, which resulted in a decrease of $11 million or 6% impact on our 2020 revenue growth.</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and AEBITDA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Operating expenses increased primarily due to higher costs of revenue correlated with the increase in revenue. AEBITDA increased by</w:t>
      </w:r>
    </w:p>
    <w:p>
      <w:pPr>
        <w:spacing w:after="0" w:line="3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$18 million or 45% primarily due to the increase in revenue (described above). AEBITDA margin for the year ended December 31, 2020 increased by 7 percentage points to 30%.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description of recently issued accounting pronouncements, see Note 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6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Information regarding significant accounting policies is included in Note 1 and in the relevant sections of applicable Notes. As stated in Note 1, the preparation of financial statements in accordance with U.S. GAAP requires management to</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70" w:name="page71"/>
    <w:bookmarkEnd w:id="70"/>
    <w:p>
      <w:pPr>
        <w:ind w:right="60"/>
        <w:spacing w:after="0" w:line="275" w:lineRule="auto"/>
        <w:rPr>
          <w:sz w:val="20"/>
          <w:szCs w:val="20"/>
          <w:color w:val="auto"/>
        </w:rPr>
      </w:pPr>
      <w:r>
        <w:rPr>
          <w:rFonts w:ascii="Arial" w:cs="Arial" w:eastAsia="Arial" w:hAnsi="Arial"/>
          <w:sz w:val="17"/>
          <w:szCs w:val="17"/>
          <w:color w:val="auto"/>
        </w:rPr>
        <w:t>make estimates and assumptions that affect the reported amounts of assets, liabilities, revenue and expenses, and related disclosure of contingent assets and liabilities. Management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We believe that the estimates, assumptions, and judgments involved in the following accounting policies have the greatest potential impact on our consolidated financial statements:</w:t>
      </w:r>
    </w:p>
    <w:p>
      <w:pPr>
        <w:spacing w:after="0" w:line="10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Goodwill, long-lived and other intangible assets - impairment assessment;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Legal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4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described in Note 10, we account for business combinations in accordance with ASC 805. This standard requires the acquiring entity in a business combination to recognize all (and only) the assets acquired and liabilities assumed in the transaction and establishes the acquisition-date fair value as the measurement objective for all assets acquired and liabilities assumed in a business combination.</w:t>
      </w:r>
    </w:p>
    <w:p>
      <w:pPr>
        <w:spacing w:after="0" w:line="116"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Determining the fair value of assets acquired and liabilities assumed requires management judgment, the utilization of independent valuation experts and often involves the use of significant estimates and assumptions with respect to the timing and amounts of future cash inflows and outflows, discount rates, market prices and asset lives, among other items. Any changes in the underlying assumptions can impact the estimates of fair value by material amounts, which can in turn materially impact our results of operations. If the subsequent actual results and updated projections of the underlying business activity change compared with the assumptions and projections used to develop these fair values, we could record impairment charges. In addition, we have estimated the economic lives of certain acquired assets and these lives are used to calculate D&amp;A expense. If our estimates of the economic lives change, D&amp;A expense could be accelerated or slowed. For example, for the acquisitions completed during 2021, if the intangible assets useful life was extended by two years the total annual depreciation and amortization would decrease by approximately $3 million and if the useful life was shortened by two years the total annual depreciation and amortization would increase by approximately $7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revenue recognition policies described in Note 4 require us to make significant judgments and estimates. The guidance requires that we apply judgments or estimates to determine the performance obligations, the stand-alone selling prices of our performance obligations to customers, and the timing of transfer of control of the respective performance obligations. The evaluation of each of these criteria in light of contract specific facts and circumstances is inherently judgmental, but certain judgments could significantly affect the timing or amount of revenue recognized if we were to reach a different conclusion than we have. The critical judgments we are required to make in our assessment of contracts with customers that could significantly affect the timing or amount of revenue recognized are:</w:t>
      </w:r>
    </w:p>
    <w:p>
      <w:pPr>
        <w:spacing w:after="0" w:line="125" w:lineRule="exact"/>
        <w:rPr>
          <w:sz w:val="20"/>
          <w:szCs w:val="20"/>
          <w:color w:val="auto"/>
        </w:rPr>
      </w:pPr>
    </w:p>
    <w:p>
      <w:pPr>
        <w:ind w:left="660" w:right="60" w:hanging="328"/>
        <w:spacing w:after="0" w:line="301" w:lineRule="auto"/>
        <w:tabs>
          <w:tab w:leader="none" w:pos="655"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Contracts with Multiple Promised Goods and Services - </w:t>
      </w:r>
      <w:r>
        <w:rPr>
          <w:rFonts w:ascii="Arial" w:cs="Arial" w:eastAsia="Arial" w:hAnsi="Arial"/>
          <w:sz w:val="16"/>
          <w:szCs w:val="16"/>
          <w:color w:val="auto"/>
        </w:rPr>
        <w:t>because we enter into contracts with customers that involve promises to transfer multiple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and services, the determination of the distinct performance obligations in contracts with multiple promises requires significant judgment. Our total gaming systems revenue that often contains multiple promised goods and services was $204 million for the year ended December 31, 2021, or approximately 9 percent of consolidated revenue, a portion of which would not be recognized if we had reached a different conclusion.</w:t>
      </w:r>
    </w:p>
    <w:p>
      <w:pPr>
        <w:spacing w:after="0" w:line="89" w:lineRule="exact"/>
        <w:rPr>
          <w:rFonts w:ascii="Arial" w:cs="Arial" w:eastAsia="Arial" w:hAnsi="Arial"/>
          <w:sz w:val="16"/>
          <w:szCs w:val="16"/>
          <w:i w:val="1"/>
          <w:iCs w:val="1"/>
          <w:color w:val="auto"/>
        </w:rPr>
      </w:pPr>
    </w:p>
    <w:p>
      <w:pPr>
        <w:ind w:left="660" w:right="100" w:hanging="328"/>
        <w:spacing w:after="0" w:line="293" w:lineRule="auto"/>
        <w:tabs>
          <w:tab w:leader="none" w:pos="655"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Determination of stand-alone selling prices - </w:t>
      </w:r>
      <w:r>
        <w:rPr>
          <w:rFonts w:ascii="Arial" w:cs="Arial" w:eastAsia="Arial" w:hAnsi="Arial"/>
          <w:sz w:val="16"/>
          <w:szCs w:val="16"/>
          <w:color w:val="auto"/>
        </w:rPr>
        <w:t>the guidance requires that we determine the stand-alone selling price for our goods and services as a</w:t>
      </w:r>
      <w:r>
        <w:rPr>
          <w:rFonts w:ascii="Arial" w:cs="Arial" w:eastAsia="Arial" w:hAnsi="Arial"/>
          <w:sz w:val="16"/>
          <w:szCs w:val="16"/>
          <w:i w:val="1"/>
          <w:iCs w:val="1"/>
          <w:color w:val="auto"/>
        </w:rPr>
        <w:t xml:space="preserve"> </w:t>
      </w:r>
      <w:r>
        <w:rPr>
          <w:rFonts w:ascii="Arial" w:cs="Arial" w:eastAsia="Arial" w:hAnsi="Arial"/>
          <w:sz w:val="16"/>
          <w:szCs w:val="16"/>
          <w:color w:val="auto"/>
        </w:rPr>
        <w:t>basis for allocating the transaction price to the identified distinct performance obligations in our contracts with customers. Because we often bundle the selling price for multiple promised goods or services or we may license systems for which the solutions we provide are highly customized and therefore the prices we charge are variable, the determination of a stand-alone selling price or the relative range may require significant judgment. Our total gaming systems revenue that could be subject to this judgment and thus allocated to distinct performance obligations differently was a portion of $204 million for the year ended December 31, 2021, or approximately 9 percent of consolidated revenue.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 impairment assessment</w:t>
      </w:r>
    </w:p>
    <w:p>
      <w:pPr>
        <w:spacing w:after="0" w:line="144"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at least an annual basis and, if necessary, reassign goodwill using a relative fair value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1" w:name="page72"/>
    <w:bookmarkEnd w:id="71"/>
    <w:p>
      <w:pPr>
        <w:ind w:right="20"/>
        <w:spacing w:after="0"/>
        <w:rPr>
          <w:sz w:val="20"/>
          <w:szCs w:val="20"/>
          <w:color w:val="auto"/>
        </w:rPr>
      </w:pPr>
      <w:r>
        <w:rPr>
          <w:rFonts w:ascii="Arial" w:cs="Arial" w:eastAsia="Arial" w:hAnsi="Arial"/>
          <w:sz w:val="17"/>
          <w:szCs w:val="17"/>
          <w:color w:val="auto"/>
        </w:rPr>
        <w:t>allocation approach. As a result of the financial results of our Lottery and Sports Betting businesses being reflected as discontinued operations (see Note 2), we reassessed our continuing operations reporting units and determined that we have six reporting units: SG Gaming, U.K. Gaming, Casino Management Systems, Table Products, SciPlay, and iGaming. Goodwill is tested for impairment at the reporting unit level (operating segment or one level below an operating segment) annually on October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23"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Goodwill is reviewed for impairment using either a qualitative assessment or a quantitative one-step process. If we perform a qualitative assessment and determine that the fair value of a reporting unit more likely than not exceeds the carrying value, no further evaluation is necessary. For reporting units where we perform the quantitative process, we are required to compare the fair value of each reporting unit, which we primarily determine using an income approach based on the present value of discounted cash flows and a market approach, to the respective carrying value, which includes goodwill. If the fair value of the reporting unit exceeds its carrying value, the goodwill is not considered impaired. If the carrying value is higher than the fair value, we recognize an impairment charge for the amount by which the carrying value exceeds the reporting unit’s estimated fair value.</w:t>
      </w:r>
    </w:p>
    <w:p>
      <w:pPr>
        <w:spacing w:after="0" w:line="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Performance of the qualitative goodwill assessment requires judgment in identifying and considering the significance of relevant key factors, events and circumstances that affect the fair value or carrying amount of the reporting units. Such events and circumstances that we have considered include macroeconomic conditions, industry specific and market considerations, and reporting units specific factors such as overall actual and projected financial performance, among other factors. We also considered the results of the most recent date that a fair value measurement was performed as a part of the quantitative goodwill assessment and specifically the cushion between each reporting unit’s fair value and carrying value. The estimates used to calculate the fair value of a reporting unit as a part of the quantitative goodwill assessment change from year to year based on operating results, market conditions, and other factors. Changes in these estimates and assumptions could materially affect the determination of fair value and goodwill impairment, if any, for each reporting unit.</w:t>
      </w:r>
    </w:p>
    <w:p>
      <w:pPr>
        <w:spacing w:after="0" w:line="1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performed our annual goodwill impairment test as of October 1, 2021 using a qualitative assessment for all of our reporting units other than for the U.K Gaming reporting unit for which we performed a quantitative assessment given its impairment in 2020. Based on the results of our qualitative impairment assessment, we concluded that it is more likely than not that the fair values of each of our reporting units exceeded their respective carrying values and there were no reporting units requiring further assessment. The test results for U.K. Gaming reporting unit for which we performed a quantitative assessment indicated the fair value was substantially in excess (greater than 20%) of the carrying value. As of December 31, 2021, the carrying amount of goodwill related to our U.K. Gaming reporting unit was $127 million.</w:t>
      </w:r>
    </w:p>
    <w:p>
      <w:pPr>
        <w:spacing w:after="0" w:line="1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Refer to Note 11 for key estimates and assumptions used in the 2020 discounted cash flow analysis for U.K. Gaming reporting unit during which our impairment testing for these reporting units resulted in an impairment charge.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other intangible assets - impairment assessment</w:t>
      </w:r>
    </w:p>
    <w:p>
      <w:pPr>
        <w:spacing w:after="0" w:line="15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evaluate the recoverability of intangible assets and other long-lived assets with finite useful lives by comparing the carrying value of the asset group to the estimated undiscounted future cash flows that we expect the asset to generate if events or changes in circumstances indicate that these assets are not recoverable. Any impairment is measured as the amount by which the carrying value of the asset exceeds the estimated fair value. The fair value is determined using a discounted cash flow approach where projections of future cash flows generated by those assets are discounted using an estimated discount rate. Significant judgment is required to estimate the amount and timing of future cash flows and the relative risk of achieving those cash flows. We also make judgments about the remaining useful lives of intangible assets and other long-lived assets that have finite lives. While we believe our estimates of future operating results and projected cash flows are reasonable, any significant adverse changes in key assumptions (i.e., adverse change in the extent or manner in which an asset (asset group) is being used or expectation that, more likely than not, an asset (asset group) will be sold or otherwise disposed of before the end of its useful life) or adverse changes in economic and market conditions may cause a change in our evaluation of recoverability or our estimation of fair value and could result in an impairment charge that could be material to our financial statements. Refer to Note 11 for our fourth quarter 2021 change in estimate related to the useful lives for certain of our legacy trade names triggered by corporate-wide re-branding as described above in the “</w:t>
      </w:r>
      <w:r>
        <w:rPr>
          <w:rFonts w:ascii="Arial" w:cs="Arial" w:eastAsia="Arial" w:hAnsi="Arial"/>
          <w:sz w:val="16"/>
          <w:szCs w:val="16"/>
          <w:i w:val="1"/>
          <w:iCs w:val="1"/>
          <w:color w:val="auto"/>
        </w:rPr>
        <w:t>Business Overview — Highlights, including recent developments”</w:t>
      </w:r>
      <w:r>
        <w:rPr>
          <w:rFonts w:ascii="Arial" w:cs="Arial" w:eastAsia="Arial" w:hAnsi="Arial"/>
          <w:sz w:val="16"/>
          <w:szCs w:val="16"/>
          <w:color w:val="auto"/>
        </w:rPr>
        <w:t xml:space="preserve"> section.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Income taxes</w:t>
      </w:r>
    </w:p>
    <w:p>
      <w:pPr>
        <w:spacing w:after="0" w:line="15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are subject to the income tax laws of the many jurisdictions in which we operate. These tax laws are complex, and the manner in which they apply to our facts is sometimes open to interpretation. In establishing the provision for income taxes, we must make judgments about the application of these inherently complex tax laws.</w:t>
      </w:r>
    </w:p>
    <w:p>
      <w:pPr>
        <w:spacing w:after="0" w:line="10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Despite our belief that our tax return positions are consistent with applicable tax laws, we believe that taxing authorities could challenge certain positions. Settlement of any challenge can result in no change, a complete disallowance, or some partial adjustment reached through negotiations or litigation. We record tax benefits for uncertain tax positions based upon management’s evaluation of the information available at the reporting date. To be recognized in the financial statements, a tax benefit must be at least more likely than not of being sustained based on technical merits. The tax benefit for positions meeting the recognition threshold is measured as the largest benefit more likely than not to be realized upon ultimate settlement with a taxing authority that has full knowledge of all relevant information. Significant judgment is required in making these determinations, and adjustments to uncertain tax positions may be necessary to reflect actual taxes payable upon settlement. Adjustments related to positions impacting the effective tax rate affect the provision for income taxes. Adjustments related to positions impacting the timing of deductions impact deferred tax assets and liabilities.</w:t>
      </w:r>
    </w:p>
    <w:p>
      <w:pPr>
        <w:spacing w:after="0" w:line="9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income tax positions and analysis are based on currently enacted tax law. Future changes in tax law could significantly impact the provision for income taxes, the amount of taxes payable, and the deferred tax asset and liability balances in future periods. Deferred tax assets generally represent tax benefits for tax deductions or credits available in future tax returns. Certain estimates and assumptions are required to determine whether it is more likely than not that all or some portion of the benefit of a deferred tax asset will not be realized. In making this assessment, management analyzes and estimates the impact of future taxable income, available carry-backs and carry-forwards, reversing temporary differences and available prudent and feasible tax planning strategies.</w:t>
      </w:r>
    </w:p>
    <w:p>
      <w:pPr>
        <w:spacing w:after="0" w:line="1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recorded valuation allowances in certain jurisdictions to reduce our deferred tax assets to the amounts that are more likely than not to be realized. Should a change in facts or circumstances lead to a change in judgment about the ultimate realizability of a deferred tax asset, we record or adjust the related valuation allowance in the annual period that the change in facts and circumstances occurs, along with a corresponding increase or decrease in the provision for income taxes. In assessing the timing of valuation allowance release, we specifically assessed the certainty and expected gains related to pending sales of our businesses held for sale, which required significant judgment and evaluation of various factors. See Note 19 for a more detailed discussion related to valuation allowance release during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158"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 xml:space="preserve">We are subject to certain legal proceedings, demands, claims and threatened litigation that arise in the normal course of our business. We review the status of each significant matter quarterly and assess our potential financial exposure. If the potential loss from any claim or legal proceeding is considered probable and the amount can be reasonably estimated, we record a liability and an expense for the estimated loss. If we determine that a loss is reasonably possible and the range of the loss can be reasonably estimated, then we disclose the range of the possible loss. Significant judgment is required in the determination of whether a potential loss is probable, reasonably possible, or remote and in the determination of whether a potential exposure is reasonably estimable. Our accruals are based on the best information available at the time. As additional information becomes available, we reassess the liabilities and disclosures related to our pending claims and litigation and may revise our estimates. Potential legal liabilities and the revision of estimates of legal liabilities could have a material impact on our results of operations, cash flows and financial position. For discussion of our legal proceedings, see Note 20, which is incorporated by reference into </w:t>
      </w:r>
      <w:r>
        <w:rPr>
          <w:rFonts w:ascii="Arial" w:cs="Arial" w:eastAsia="Arial" w:hAnsi="Arial"/>
          <w:sz w:val="16"/>
          <w:szCs w:val="16"/>
          <w:i w:val="1"/>
          <w:iCs w:val="1"/>
          <w:color w:val="auto"/>
        </w:rPr>
        <w:t>Item 3</w:t>
      </w:r>
      <w:r>
        <w:rPr>
          <w:rFonts w:ascii="Arial" w:cs="Arial" w:eastAsia="Arial" w:hAnsi="Arial"/>
          <w:sz w:val="16"/>
          <w:szCs w:val="16"/>
          <w:color w:val="auto"/>
        </w:rPr>
        <w:t xml:space="preserve"> of this Annual Report on Form 10-K.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WORKING CAPITAL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available liquidity</w:t>
      </w:r>
    </w:p>
    <w:p>
      <w:pPr>
        <w:spacing w:after="0" w:line="158"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As of December 31, 2021, our principal sources of liquidity, other than cash flows provided by operating activities, were cash and cash equivalents, including SciPlay cash and cash equivalents (for our SciPlay business segment), cash and cash equivalents of businesses held for sale and amounts available under the SciPlay Revolver (for our SciPlay business segment) discussed below under “Credit Agreement and Other Debt”.</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and available revolver capacity as of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73" w:name="page74"/>
    <w:bookmarkEnd w:id="73"/>
    <w:tbl>
      <w:tblPr>
        <w:tblLayout w:type="fixed"/>
        <w:tblInd w:w="4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8"/>
              </w:rPr>
              <w:t>Cash and cash</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Revolver capacity</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Revolver capacity</w:t>
            </w:r>
          </w:p>
        </w:tc>
        <w:tc>
          <w:tcPr>
            <w:tcW w:w="1640" w:type="dxa"/>
            <w:vAlign w:val="bottom"/>
            <w:gridSpan w:val="3"/>
          </w:tcPr>
          <w:p>
            <w:pPr>
              <w:ind w:left="60"/>
              <w:spacing w:after="0" w:line="162" w:lineRule="exact"/>
              <w:rPr>
                <w:sz w:val="20"/>
                <w:szCs w:val="20"/>
                <w:color w:val="auto"/>
              </w:rPr>
            </w:pPr>
            <w:r>
              <w:rPr>
                <w:rFonts w:ascii="Arial" w:cs="Arial" w:eastAsia="Arial" w:hAnsi="Arial"/>
                <w:sz w:val="16"/>
                <w:szCs w:val="16"/>
                <w:b w:val="1"/>
                <w:bCs w:val="1"/>
                <w:color w:val="auto"/>
              </w:rPr>
              <w:t>drawn or committed</w:t>
            </w:r>
          </w:p>
        </w:tc>
        <w:tc>
          <w:tcPr>
            <w:tcW w:w="340" w:type="dxa"/>
            <w:vAlign w:val="bottom"/>
          </w:tcPr>
          <w:p>
            <w:pPr>
              <w:spacing w:after="0"/>
              <w:rPr>
                <w:sz w:val="14"/>
                <w:szCs w:val="14"/>
                <w:color w:val="auto"/>
              </w:rPr>
            </w:pPr>
          </w:p>
        </w:tc>
        <w:tc>
          <w:tcPr>
            <w:tcW w:w="118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4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8"/>
              </w:rPr>
              <w:t>equivalents</w:t>
            </w: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to letters of credit</w:t>
            </w:r>
          </w:p>
        </w:tc>
        <w:tc>
          <w:tcPr>
            <w:tcW w:w="3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SGC (excluding SciPlay and businesses held for sale)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9"/>
        </w:trPr>
        <w:tc>
          <w:tcPr>
            <w:tcW w:w="4760" w:type="dxa"/>
            <w:vAlign w:val="bottom"/>
            <w:gridSpan w:val="2"/>
          </w:tcPr>
          <w:p>
            <w:pPr>
              <w:spacing w:after="0"/>
              <w:rPr>
                <w:sz w:val="20"/>
                <w:szCs w:val="20"/>
                <w:color w:val="auto"/>
              </w:rPr>
            </w:pPr>
            <w:r>
              <w:rPr>
                <w:rFonts w:ascii="Arial" w:cs="Arial" w:eastAsia="Arial" w:hAnsi="Arial"/>
                <w:sz w:val="18"/>
                <w:szCs w:val="18"/>
                <w:color w:val="auto"/>
              </w:rPr>
              <w:t>Businesses held for sale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SciPlay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4760" w:type="dxa"/>
            <w:vAlign w:val="bottom"/>
            <w:gridSpan w:val="2"/>
          </w:tcPr>
          <w:p>
            <w:pPr>
              <w:ind w:left="220"/>
              <w:spacing w:after="0"/>
              <w:rPr>
                <w:sz w:val="20"/>
                <w:szCs w:val="20"/>
                <w:color w:val="auto"/>
              </w:rPr>
            </w:pPr>
            <w:r>
              <w:rPr>
                <w:rFonts w:ascii="Arial" w:cs="Arial" w:eastAsia="Arial" w:hAnsi="Arial"/>
                <w:sz w:val="18"/>
                <w:szCs w:val="18"/>
                <w:color w:val="auto"/>
              </w:rPr>
              <w:t>Total as of December 31, 2021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shd w:val="clear" w:color="auto" w:fill="CCEEFF"/>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gridSpan w:val="2"/>
          </w:tcPr>
          <w:p>
            <w:pPr>
              <w:spacing w:after="0"/>
              <w:rPr>
                <w:sz w:val="20"/>
                <w:szCs w:val="20"/>
                <w:color w:val="auto"/>
              </w:rPr>
            </w:pPr>
            <w:r>
              <w:rPr>
                <w:rFonts w:ascii="Arial" w:cs="Arial" w:eastAsia="Arial" w:hAnsi="Arial"/>
                <w:sz w:val="18"/>
                <w:szCs w:val="18"/>
                <w:color w:val="auto"/>
              </w:rPr>
              <w:t>SGC (excluding SciPlay and businesses held for sale)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9"/>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Businesses held for sale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SciPlay</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as of December 31,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May 7, 2019, SciPlay completed an IPO for an 18.0% minority interest in our Social gaming business, after giving effect to the underwriters’ partial exercise of their over-allotment option on June 4, 2019. We received $312 million in net proceeds from the offering (net of $30 million used by SciPlay to pay the offering fees and the balance retained by SciPlay for general corporate purposes). Subsequent to the IPO, SciPlay Holding Company, LLC (“SciPlay Holding”), a subsidiary of SciPlay, entered into a $150 million revolving credit agreement that matures in May 2024. These proceeds enabled us to reduce our revolving credit facility and other debt in 2019. At this time, we do not expect SciPlay to declare or pay any cash dividends, other than tax distributions and certain cash distributions related to the impact of taxes pursuant to the TRA, of which payments totaling $4 million were made for the year ended December 31, 2021.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15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During 2021, we drew $60 million under SGI’s revolving credit facility and repaid $595 million leaving the entire revolving credit facility undrawn and available as of December 31, 2021.</w:t>
      </w:r>
    </w:p>
    <w:p>
      <w:pPr>
        <w:spacing w:after="0" w:line="103"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Total cash held by our foreign subsidiaries (including discontinued operations) was $180 million and $173 million as of December 31, 2021 and December 31, 2020, respectively. We believe that substantially all cash held outside the U.S. is free from legal encumbrances or similar restrictions that would prevent it from being available to meet our global liquidity needs.</w:t>
      </w:r>
    </w:p>
    <w:p>
      <w:pPr>
        <w:spacing w:after="0" w:line="10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Gaming operations and Lottery systems (included in our discontinued operations) businesses generally require significant upfront capital expenditures, and we may need to incur additional capital expenditures in order to retain or win new contracts. Our ability to make payments on and to refinance our indebtedness and other obligations depends on our ability to generate cash in the future. We may also, from time to time, repurchase or otherwise retire or refinance our debt, through our subsidiaries or otherwise. In the event we pursue significant acquisitions or other expansion opportunities, we may need to raise additional capital. If we do not have adequate liquidity to support these activities, we may be unable to obtain financing for these cash needs on favorable terms or at all. For additional information regarding our cash needs and related risks,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under </w:t>
      </w:r>
      <w:r>
        <w:rPr>
          <w:rFonts w:ascii="Arial" w:cs="Arial" w:eastAsia="Arial" w:hAnsi="Arial"/>
          <w:sz w:val="18"/>
          <w:szCs w:val="18"/>
          <w:i w:val="1"/>
          <w:iCs w:val="1"/>
          <w:color w:val="auto"/>
        </w:rPr>
        <w:t>Part I,</w:t>
      </w:r>
      <w:r>
        <w:rPr>
          <w:rFonts w:ascii="Arial" w:cs="Arial" w:eastAsia="Arial" w:hAnsi="Arial"/>
          <w:sz w:val="18"/>
          <w:szCs w:val="18"/>
          <w:color w:val="auto"/>
        </w:rPr>
        <w:t xml:space="preserve"> </w:t>
      </w:r>
      <w:r>
        <w:rPr>
          <w:rFonts w:ascii="Arial" w:cs="Arial" w:eastAsia="Arial" w:hAnsi="Arial"/>
          <w:sz w:val="18"/>
          <w:szCs w:val="18"/>
          <w:i w:val="1"/>
          <w:iCs w:val="1"/>
          <w:color w:val="auto"/>
        </w:rPr>
        <w:t>Item 1A</w:t>
      </w:r>
      <w:r>
        <w:rPr>
          <w:rFonts w:ascii="Arial" w:cs="Arial" w:eastAsia="Arial" w:hAnsi="Arial"/>
          <w:sz w:val="18"/>
          <w:szCs w:val="18"/>
          <w:color w:val="auto"/>
        </w:rPr>
        <w:t>.</w:t>
      </w:r>
    </w:p>
    <w:p>
      <w:pPr>
        <w:spacing w:after="0" w:line="12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ability to make payments on and to refinance our indebtedness and other obligations depends on our ability to generate cash in the future. From time to time we have also repurchased or otherwise retired or refinanced our debt, through our subsidiaries or otherwise, and may continue to do so in the future. Such activities, if any, will depend on prevailing market conditions, contractual restrictions and other factors, and the amounts involved may or may not be material. If we need to refinance all or part of our indebtedness at or before maturity, we cannot assure that we will be able to obtain new financing or to refinance any of our indebtedness on commercially reasonable terms or at all. In the event we pursue significant acquisitions or other expansion opportunities, conduct significant repurchases of our outstanding securities or refinance or repay existing debt, we may need to raise additional capital either through the public or private issuance of equity or debt securities or through additional borrowings under our existing or additional financing arrangements, which sources of funds may not necessarily be available on terms acceptable to us, or at all. For additional information regarding our cash needs and related risks, see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under </w:t>
      </w:r>
      <w:r>
        <w:rPr>
          <w:rFonts w:ascii="Arial" w:cs="Arial" w:eastAsia="Arial" w:hAnsi="Arial"/>
          <w:sz w:val="17"/>
          <w:szCs w:val="17"/>
          <w:i w:val="1"/>
          <w:iCs w:val="1"/>
          <w:color w:val="auto"/>
        </w:rPr>
        <w:t>Part I, Item 1A</w:t>
      </w:r>
      <w:r>
        <w:rPr>
          <w:rFonts w:ascii="Arial" w:cs="Arial" w:eastAsia="Arial" w:hAnsi="Arial"/>
          <w:sz w:val="17"/>
          <w:szCs w:val="17"/>
          <w:color w:val="auto"/>
        </w:rPr>
        <w:t>.</w:t>
      </w:r>
    </w:p>
    <w:p>
      <w:pPr>
        <w:spacing w:after="0" w:line="11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In addition, U.S. lottery customers (included in our discontinued operations) generally require service providers to provide performance bonds in connection with the relevant contract. As of December 31, 2021, our outstanding performance bonds (including those related to discontinued operations) totaled $272 million. Our ability to obtain performance bonds on commercially reasonable terms is subject to our financial condition and prevailing market conditions, which may be impacted by economic and political events. Although we have not experienced difficulty in obtaining such bonds to date, we cannot assure that we will continue to be able to obtain performance bonds on commercially reasonable terms, or at all. For additional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information regarding our surety or performance bonds in connection with our contracts,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under </w:t>
      </w:r>
      <w:r>
        <w:rPr>
          <w:rFonts w:ascii="Arial" w:cs="Arial" w:eastAsia="Arial" w:hAnsi="Arial"/>
          <w:sz w:val="18"/>
          <w:szCs w:val="18"/>
          <w:i w:val="1"/>
          <w:iCs w:val="1"/>
          <w:color w:val="auto"/>
        </w:rPr>
        <w:t>Part I, Item 1A</w:t>
      </w:r>
      <w:r>
        <w:rPr>
          <w:rFonts w:ascii="Arial" w:cs="Arial" w:eastAsia="Arial" w:hAnsi="Arial"/>
          <w:sz w:val="18"/>
          <w:szCs w:val="18"/>
          <w:color w:val="auto"/>
        </w:rPr>
        <w:t>.</w:t>
      </w:r>
    </w:p>
    <w:p>
      <w:pPr>
        <w:spacing w:after="0" w:line="15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intend to repay, refinance and/or restructure a significant portion of our existing indebtedness to significantly de-lever our balance sheet and position the Company for enhanced growth following the receipt of cash from the Pending Divestitures (See Note 1), which we would also expect to significantly change the terms and outstanding amounts of our debt.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48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12"/>
          </w:tcPr>
          <w:p>
            <w:pPr>
              <w:ind w:left="400"/>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jc w:val="right"/>
              <w:ind w:right="891"/>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ind w:left="14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2021 vs. 2020</w:t>
            </w:r>
          </w:p>
        </w:tc>
        <w:tc>
          <w:tcPr>
            <w:tcW w:w="12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6"/>
                <w:szCs w:val="16"/>
                <w:b w:val="1"/>
                <w:bCs w:val="1"/>
                <w:color w:val="auto"/>
                <w:w w:val="89"/>
              </w:rPr>
              <w:t>2020 vs. 2019</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54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 from:</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304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8"/>
                <w:szCs w:val="18"/>
                <w:color w:val="auto"/>
              </w:rPr>
              <w:t>685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 from:</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(442)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 from:</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(679)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Effect of exchange rate changes on cash, cash equivalents and 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
        </w:trPr>
        <w:tc>
          <w:tcPr>
            <w:tcW w:w="552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Cash flows from operating activities - continuing operations</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12"/>
          </w:tcPr>
          <w:p>
            <w:pPr>
              <w:ind w:left="340"/>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jc w:val="right"/>
              <w:ind w:right="871"/>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480" w:type="dxa"/>
            <w:vAlign w:val="bottom"/>
            <w:gridSpan w:val="3"/>
          </w:tcPr>
          <w:p>
            <w:pPr>
              <w:spacing w:after="0" w:line="142"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6"/>
                <w:szCs w:val="16"/>
                <w:b w:val="1"/>
                <w:bCs w:val="1"/>
                <w:color w:val="auto"/>
              </w:rPr>
              <w:t>2020</w:t>
            </w: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6"/>
                <w:szCs w:val="16"/>
                <w:b w:val="1"/>
                <w:bCs w:val="1"/>
                <w:color w:val="auto"/>
              </w:rPr>
              <w:t>2021 vs. 2020</w:t>
            </w: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6"/>
                <w:szCs w:val="16"/>
                <w:b w:val="1"/>
                <w:bCs w:val="1"/>
                <w:color w:val="auto"/>
                <w:w w:val="89"/>
              </w:rPr>
              <w:t>2020 vs. 2019</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20" w:type="dxa"/>
            <w:vAlign w:val="bottom"/>
            <w:tcBorders>
              <w:top w:val="single" w:sz="8" w:color="auto"/>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6"/>
              </w:rPr>
              <w:t>390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Less: Income from discontinued operations, net of tax</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center"/>
              <w:ind w:left="132"/>
              <w:spacing w:after="0"/>
              <w:rPr>
                <w:sz w:val="20"/>
                <w:szCs w:val="20"/>
                <w:color w:val="auto"/>
              </w:rPr>
            </w:pPr>
            <w:r>
              <w:rPr>
                <w:rFonts w:ascii="Arial" w:cs="Arial" w:eastAsia="Arial" w:hAnsi="Arial"/>
                <w:sz w:val="18"/>
                <w:szCs w:val="18"/>
                <w:color w:val="auto"/>
                <w:w w:val="95"/>
              </w:rPr>
              <w:t>(366)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tcPr>
          <w:p>
            <w:pPr>
              <w:spacing w:after="0"/>
              <w:rPr>
                <w:sz w:val="15"/>
                <w:szCs w:val="15"/>
                <w:color w:val="auto"/>
              </w:rPr>
            </w:pPr>
          </w:p>
        </w:tc>
        <w:tc>
          <w:tcPr>
            <w:tcW w:w="54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4"/>
              </w:rPr>
              <w:t>Adjustments to reconcile net income (loss) from continuing operations to</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center"/>
              <w:ind w:left="152"/>
              <w:spacing w:after="0" w:line="176" w:lineRule="exact"/>
              <w:rPr>
                <w:sz w:val="20"/>
                <w:szCs w:val="20"/>
                <w:color w:val="auto"/>
              </w:rPr>
            </w:pPr>
            <w:r>
              <w:rPr>
                <w:rFonts w:ascii="Arial" w:cs="Arial" w:eastAsia="Arial" w:hAnsi="Arial"/>
                <w:sz w:val="18"/>
                <w:szCs w:val="18"/>
                <w:color w:val="auto"/>
                <w:w w:val="86"/>
              </w:rPr>
              <w:t>479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w w:val="93"/>
              </w:rPr>
              <w:t>Changes in working capital accounts, excluding the effects of acquisitions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center"/>
              <w:ind w:left="152"/>
              <w:spacing w:after="0"/>
              <w:rPr>
                <w:sz w:val="20"/>
                <w:szCs w:val="20"/>
                <w:color w:val="auto"/>
              </w:rPr>
            </w:pPr>
            <w:r>
              <w:rPr>
                <w:rFonts w:ascii="Arial" w:cs="Arial" w:eastAsia="Arial" w:hAnsi="Arial"/>
                <w:sz w:val="18"/>
                <w:szCs w:val="18"/>
                <w:color w:val="auto"/>
                <w:w w:val="86"/>
              </w:rPr>
              <w:t>143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deferred income taxes and other</w:t>
            </w: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color w:val="auto"/>
                <w:w w:val="95"/>
              </w:rPr>
              <w:t>(342)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86"/>
              </w:rPr>
              <w:t>304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5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Net cash provided by operating activities from continuing operations increased in 2021 primarily due to higher cash earnings resulting from the lifting of certain COVID-19 related disruptions. The changes in our working capital accounts for the year ended December 31, 2021 were primarily driven by the following:</w:t>
      </w:r>
    </w:p>
    <w:p>
      <w:pPr>
        <w:spacing w:after="0" w:line="116" w:lineRule="exact"/>
        <w:rPr>
          <w:sz w:val="20"/>
          <w:szCs w:val="20"/>
          <w:color w:val="auto"/>
        </w:rPr>
      </w:pPr>
    </w:p>
    <w:p>
      <w:pPr>
        <w:ind w:left="660" w:right="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$19 million favorable change in receivables primarily due to increased billing and collection as recovery from the COVID-19 pandemic continues to gain momentum with eased restrictions and continued progress towards the return to pre-COVID levels;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 million favorable change in inventory due to timing of orders and shipments;</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$17 million favorable change in other current assets and liabilities primarily related to increases in various prepaid expenses and timing of contract assets and liabilities;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5" w:name="page76"/>
    <w:bookmarkEnd w:id="75"/>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$98 million favorable change in accounts payable and accrued liabilities primarily as a result of the timing of expenditures.</w:t>
      </w:r>
    </w:p>
    <w:p>
      <w:pPr>
        <w:spacing w:after="0" w:line="158"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Net cash provided by operating activities from discontinued operations increased due to higher cash flows from discontinued operations driven by higher Lottery instant products and systems revenue due to the impact of COVID-19 on the prior year results coupled with the large lottery jackpots in the first half of 2021 driving both instant products sales and system increases.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Net cash used in investing activities from continuing operations increased primarily due to acquisitions of businesses completed during 2021, as described in Note 10, and higher capital expenditures. Capital expenditures are composed of investments in systems, equipment and other assets related to contracts, property and equipment, intangible assets and software.</w:t>
      </w:r>
    </w:p>
    <w:p>
      <w:pPr>
        <w:spacing w:after="0" w:line="116"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Net cash used in investing activities from discontinued operations increased primarily due to acquisitions completed during 2021, as described in Note 10, higher additions to equity method investments and capital expenditures.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58" w:lineRule="exact"/>
        <w:rPr>
          <w:sz w:val="20"/>
          <w:szCs w:val="20"/>
          <w:color w:val="auto"/>
        </w:rPr>
      </w:pPr>
    </w:p>
    <w:p>
      <w:pPr>
        <w:jc w:val="both"/>
        <w:ind w:right="140" w:firstLine="648"/>
        <w:spacing w:after="0" w:line="291" w:lineRule="auto"/>
        <w:rPr>
          <w:sz w:val="20"/>
          <w:szCs w:val="20"/>
          <w:color w:val="auto"/>
        </w:rPr>
      </w:pPr>
      <w:r>
        <w:rPr>
          <w:rFonts w:ascii="Arial" w:cs="Arial" w:eastAsia="Arial" w:hAnsi="Arial"/>
          <w:sz w:val="16"/>
          <w:szCs w:val="16"/>
          <w:color w:val="auto"/>
        </w:rPr>
        <w:t>Net cash used in financing activities increased primarily due to net repayments of $535 million under SGI’s revolving credit facility compared to the prior year period $340 million net draw on SGI’s revolving credit facility and net issuance of senior term loans of $209 million, coupled with</w:t>
      </w:r>
    </w:p>
    <w:p>
      <w:pPr>
        <w:ind w:right="1640"/>
        <w:spacing w:after="0" w:line="406" w:lineRule="auto"/>
        <w:rPr>
          <w:sz w:val="20"/>
          <w:szCs w:val="20"/>
          <w:color w:val="auto"/>
        </w:rPr>
      </w:pPr>
      <w:r>
        <w:rPr>
          <w:rFonts w:ascii="Arial" w:cs="Arial" w:eastAsia="Arial" w:hAnsi="Arial"/>
          <w:sz w:val="18"/>
          <w:szCs w:val="18"/>
          <w:color w:val="auto"/>
        </w:rPr>
        <w:t xml:space="preserve">$16 million in higher licensing payments and $23 million for taxes paid related to net share settlement of equity awards during 2021. </w:t>
      </w:r>
      <w:r>
        <w:rPr>
          <w:rFonts w:ascii="Arial" w:cs="Arial" w:eastAsia="Arial" w:hAnsi="Arial"/>
          <w:sz w:val="18"/>
          <w:szCs w:val="18"/>
          <w:b w:val="1"/>
          <w:bCs w:val="1"/>
          <w:i w:val="1"/>
          <w:iCs w:val="1"/>
          <w:color w:val="auto"/>
        </w:rPr>
        <w:t>Year Ended December 31, 2020 Compared to Year Ended December 31, 2019</w:t>
      </w:r>
    </w:p>
    <w:p>
      <w:pPr>
        <w:spacing w:after="0" w:line="1"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Net cash provided by operating activities from continuing operations decreased in 2020 primarily due to lower cash earnings impacted by the COVID-19 business disruptions. The changes in our working capital accounts for the year ended December 31, 2020 were primarily driven by the following:</w:t>
      </w:r>
    </w:p>
    <w:p>
      <w:pPr>
        <w:spacing w:after="0" w:line="11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$137 million favorable change in receivables due to timing of collections and lower billing primarily associated with Gaming segment receivables;</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$4 million favorable change in inventory due to timing of orders and shipments;</w:t>
      </w:r>
    </w:p>
    <w:p>
      <w:pPr>
        <w:spacing w:after="0" w:line="144"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$6 million favorable change in/ other current assets and liabilities primarily related to increases in various prepaid expenses and timing of contract assets and liabilities;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$26 million unfavorable change in accounts payable and accrued liabilities primarily as a result of the timing of expenditures.</w:t>
      </w:r>
    </w:p>
    <w:p>
      <w:pPr>
        <w:spacing w:after="0" w:line="15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Net cash provided by operating activities from discontinued operations decreased primarily due to lower earnings impacted by COVID-19 on the 2020 results.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Net cash used in investing activities from continuing operations decreased primarily due to lower capital expenditures and proceeds received from the sale of certain properties in Chicago, which was partially offset by SciPlay’s acquisition of Come2Play. Capital expenditures are composed of investments in systems, equipment and other assets related to contracts, property and equipment, intangible assets and software.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4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Net cash provided by financing activities from continuing operations increased primarily due to the $340 million net draw on SGI’s revolving credit facility, while the prior year included $342 million in proceeds from the sale of SciPlay common stock, which were partially offset by $253 million in net payments on long-term debt and $23 million in debt issuance, deferred financing and offering costs. Additionally, during 2020, we received net proceeds of $543 million from the issuance of 2025 Senior Unsecured Notes partially offset by $341 million in net payments for the redemption of the 2021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and Other Debt</w:t>
      </w:r>
    </w:p>
    <w:p>
      <w:pPr>
        <w:spacing w:after="0" w:line="14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For additional information regarding our credit agreement and other debt, interest rate risk and interest rate hedging instruments, see “</w:t>
      </w:r>
      <w:r>
        <w:rPr>
          <w:rFonts w:ascii="Arial" w:cs="Arial" w:eastAsia="Arial" w:hAnsi="Arial"/>
          <w:sz w:val="16"/>
          <w:szCs w:val="16"/>
          <w:i w:val="1"/>
          <w:iCs w:val="1"/>
          <w:color w:val="auto"/>
        </w:rPr>
        <w:t>Contractual</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w:t>
      </w:r>
      <w:r>
        <w:rPr>
          <w:rFonts w:ascii="Arial" w:cs="Arial" w:eastAsia="Arial" w:hAnsi="Arial"/>
          <w:sz w:val="16"/>
          <w:szCs w:val="16"/>
          <w:color w:val="auto"/>
        </w:rPr>
        <w:t>” in this</w:t>
      </w:r>
      <w:r>
        <w:rPr>
          <w:rFonts w:ascii="Arial" w:cs="Arial" w:eastAsia="Arial" w:hAnsi="Arial"/>
          <w:sz w:val="16"/>
          <w:szCs w:val="16"/>
          <w:i w:val="1"/>
          <w:iCs w:val="1"/>
          <w:color w:val="auto"/>
        </w:rPr>
        <w:t xml:space="preserve"> Item 7 </w:t>
      </w:r>
      <w:r>
        <w:rPr>
          <w:rFonts w:ascii="Arial" w:cs="Arial" w:eastAsia="Arial" w:hAnsi="Arial"/>
          <w:sz w:val="16"/>
          <w:szCs w:val="16"/>
          <w:color w:val="auto"/>
        </w:rPr>
        <w:t>below, in</w:t>
      </w:r>
      <w:r>
        <w:rPr>
          <w:rFonts w:ascii="Arial" w:cs="Arial" w:eastAsia="Arial" w:hAnsi="Arial"/>
          <w:sz w:val="16"/>
          <w:szCs w:val="16"/>
          <w:i w:val="1"/>
          <w:iCs w:val="1"/>
          <w:color w:val="auto"/>
        </w:rPr>
        <w:t xml:space="preserve"> Part II</w:t>
      </w:r>
      <w:r>
        <w:rPr>
          <w:rFonts w:ascii="Arial" w:cs="Arial" w:eastAsia="Arial" w:hAnsi="Arial"/>
          <w:sz w:val="16"/>
          <w:szCs w:val="16"/>
          <w:color w:val="auto"/>
        </w:rPr>
        <w:t>,</w:t>
      </w:r>
      <w:r>
        <w:rPr>
          <w:rFonts w:ascii="Arial" w:cs="Arial" w:eastAsia="Arial" w:hAnsi="Arial"/>
          <w:sz w:val="16"/>
          <w:szCs w:val="16"/>
          <w:i w:val="1"/>
          <w:iCs w:val="1"/>
          <w:color w:val="auto"/>
        </w:rPr>
        <w:t xml:space="preserve"> Item 7A </w:t>
      </w:r>
      <w:r>
        <w:rPr>
          <w:rFonts w:ascii="Arial" w:cs="Arial" w:eastAsia="Arial" w:hAnsi="Arial"/>
          <w:sz w:val="16"/>
          <w:szCs w:val="16"/>
          <w:color w:val="auto"/>
        </w:rPr>
        <w:t>“</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and in Notes 15 and 16.</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right="660" w:firstLine="648"/>
        <w:spacing w:after="0" w:line="263" w:lineRule="auto"/>
        <w:rPr>
          <w:sz w:val="20"/>
          <w:szCs w:val="20"/>
          <w:color w:val="auto"/>
        </w:rPr>
      </w:pPr>
      <w:r>
        <w:rPr>
          <w:rFonts w:ascii="Arial" w:cs="Arial" w:eastAsia="Arial" w:hAnsi="Arial"/>
          <w:sz w:val="18"/>
          <w:szCs w:val="18"/>
          <w:color w:val="auto"/>
        </w:rPr>
        <w:t>Our contractual obligations and commercial commitments principally include obligations associated with our outstanding indebtedness, contractual purchase obligations and future minimum operating lease obligations and other long-term liabilities as set forth in the table below as of 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6"/>
          </w:tcPr>
          <w:p>
            <w:pPr>
              <w:jc w:val="center"/>
              <w:ind w:left="732"/>
              <w:spacing w:after="0"/>
              <w:rPr>
                <w:sz w:val="20"/>
                <w:szCs w:val="20"/>
                <w:color w:val="auto"/>
              </w:rPr>
            </w:pPr>
            <w:r>
              <w:rPr>
                <w:rFonts w:ascii="Arial" w:cs="Arial" w:eastAsia="Arial" w:hAnsi="Arial"/>
                <w:sz w:val="16"/>
                <w:szCs w:val="16"/>
                <w:b w:val="1"/>
                <w:bCs w:val="1"/>
                <w:color w:val="auto"/>
                <w:w w:val="91"/>
              </w:rPr>
              <w:t>Cash Payments Due In</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8"/>
              </w:rPr>
              <w:t>Less than 1</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1 - 3 years</w:t>
            </w:r>
          </w:p>
        </w:tc>
        <w:tc>
          <w:tcPr>
            <w:tcW w:w="16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4 - 5 years</w:t>
            </w:r>
          </w:p>
        </w:tc>
        <w:tc>
          <w:tcPr>
            <w:tcW w:w="120" w:type="dxa"/>
            <w:vAlign w:val="bottom"/>
          </w:tcPr>
          <w:p>
            <w:pPr>
              <w:spacing w:after="0"/>
              <w:rPr>
                <w:sz w:val="13"/>
                <w:szCs w:val="13"/>
                <w:color w:val="auto"/>
              </w:rPr>
            </w:pPr>
          </w:p>
        </w:tc>
        <w:tc>
          <w:tcPr>
            <w:tcW w:w="1000" w:type="dxa"/>
            <w:vAlign w:val="bottom"/>
          </w:tcPr>
          <w:p>
            <w:pPr>
              <w:jc w:val="right"/>
              <w:ind w:right="52"/>
              <w:spacing w:after="0" w:line="155" w:lineRule="exact"/>
              <w:rPr>
                <w:sz w:val="20"/>
                <w:szCs w:val="20"/>
                <w:color w:val="auto"/>
              </w:rPr>
            </w:pPr>
            <w:r>
              <w:rPr>
                <w:rFonts w:ascii="Arial" w:cs="Arial" w:eastAsia="Arial" w:hAnsi="Arial"/>
                <w:sz w:val="16"/>
                <w:szCs w:val="16"/>
                <w:b w:val="1"/>
                <w:bCs w:val="1"/>
                <w:color w:val="auto"/>
                <w:w w:val="93"/>
              </w:rPr>
              <w:t>More than 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year</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92"/>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CCEEFF"/>
            </w:tcBorders>
            <w:gridSpan w:val="2"/>
            <w:shd w:val="clear" w:color="auto" w:fill="CCEEFF"/>
          </w:tcPr>
          <w:p>
            <w:pPr>
              <w:spacing w:after="0" w:line="225" w:lineRule="exact"/>
              <w:rPr>
                <w:sz w:val="20"/>
                <w:szCs w:val="20"/>
                <w:color w:val="auto"/>
              </w:rPr>
            </w:pPr>
            <w:r>
              <w:rPr>
                <w:rFonts w:ascii="Arial" w:cs="Arial" w:eastAsia="Arial" w:hAnsi="Arial"/>
                <w:sz w:val="18"/>
                <w:szCs w:val="18"/>
                <w:color w:val="auto"/>
              </w:rPr>
              <w:t xml:space="preserve">Debt, face value </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royalty minimum guaranteed payments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Contractual obligations related to continuing operations</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Contractual obligations related to discontinued operations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220" w:hanging="194"/>
        <w:spacing w:after="0"/>
        <w:tabs>
          <w:tab w:leader="none" w:pos="2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See Note 15 for information regarding long-term and other debt, including $4 million related to certain revenue transactions presented as debt in accordance with ASC 470 and finance leases.</w:t>
      </w:r>
    </w:p>
    <w:p>
      <w:pPr>
        <w:ind w:left="220" w:hanging="194"/>
        <w:spacing w:after="0" w:line="201" w:lineRule="auto"/>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Based on rates in effect and outstanding debt on December 31, 2021.</w:t>
      </w:r>
    </w:p>
    <w:p>
      <w:pPr>
        <w:ind w:left="220" w:hanging="194"/>
        <w:spacing w:after="0" w:line="201" w:lineRule="auto"/>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among other contractual obligations, estimated obligations and/or capital commitments in connection with our Gaming supply contracts.</w:t>
      </w:r>
    </w:p>
    <w:p>
      <w:pPr>
        <w:ind w:left="220" w:hanging="194"/>
        <w:spacing w:after="0" w:line="201" w:lineRule="auto"/>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See Note 14 for information regarding our operating leases.</w:t>
      </w:r>
    </w:p>
    <w:p>
      <w:pPr>
        <w:ind w:left="20" w:right="180" w:firstLine="6"/>
        <w:spacing w:after="0" w:line="227" w:lineRule="auto"/>
        <w:tabs>
          <w:tab w:leader="none" w:pos="224"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certain other contractual obligations, including estimated contingent acquisition considerations and excludes pending legal settlement (see Note 20) and transaction fees contingent on the completion of the Pending Divestitures.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DISCLOSURES ABOUT MARKET RISK</w:t>
      </w:r>
    </w:p>
    <w:p>
      <w:pPr>
        <w:spacing w:after="0" w:line="162"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exchange rates and commodity prices. The following are our financial instruments which expose us to market risk: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ind w:right="60" w:firstLine="648"/>
        <w:spacing w:after="0" w:line="271" w:lineRule="auto"/>
        <w:rPr>
          <w:sz w:val="20"/>
          <w:szCs w:val="20"/>
          <w:color w:val="auto"/>
        </w:rPr>
      </w:pPr>
      <w:r>
        <w:rPr>
          <w:rFonts w:ascii="Arial" w:cs="Arial" w:eastAsia="Arial" w:hAnsi="Arial"/>
          <w:sz w:val="16"/>
          <w:szCs w:val="16"/>
          <w:color w:val="auto"/>
        </w:rPr>
        <w:t>As of December 31, 2021, the face value of long-term debt was $8,772 million, including $4,018 million of variable-rate obligations that fluctuate based on LIBOR (of which, $800 million is effectively fixed pursuant to interest rate swap contracts that mature in February 2022) (see Notes 15 and 16). See Note 1 for additional details on reference rate reform and ASU 2020-04 and ASU 2021-01, which impact (if any) is being evaluated. Assuming a constant outstanding balance for our variable-rate long term debt, a hypothetical 1% change in interest rates would result in interest expense changing by approximately $40 million. For the years ended December 31, 2021, 2020, and 2019, the average one-month LIBOR was 0.10%, 0.52%, and 2.19%, respectively. All of our interest rate sensitive financial instruments are held for purposes other than trading purposes. We have attempted to limit our exposure to interest rate risk by using interest rate swap contracts to mitigate interest rate risk associated with a portion of our variable-rate debt instruments. The objective of our interest rate swap contracts, which are designated as cash flow hedges of the future interest payments, is to eliminate the variability of cash flows attributable to the LIBOR component of interest expense to be paid on a portion of our variable-rate debt.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Interest Rate Swaps</w:t>
      </w:r>
    </w:p>
    <w:p>
      <w:pPr>
        <w:spacing w:after="0" w:line="1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2018, we entered into certain cross-currency interest rate swap agreements to achieve more attractive interest rates by effectively converting $460 million of our fixed-rate U.S. Dollar-denominated 2025 Secured Notes, including the semi-annual interest payments through October 2023, to a fixed-rate Euro-denominated debt, with a fixed annual weighted interest rate of approximately 2.946%. We have designated these cross-currency interest rate swap agreements as a net investment hedge of our investments in certain of our international subsidiaries that use the Euro as their functional currency in order to reduce the volatility in our operating results caused by the changes in foreign currency exchange rates of the Euro with respect to the U.S. Dollar.</w:t>
      </w:r>
    </w:p>
    <w:p>
      <w:pPr>
        <w:spacing w:after="0" w:line="12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As of December 31, 2021, if these cross-currency interest rate swap agreements were ineffective, the fluctuations in the exchange rates between the Euro and the U.S. Dollar would impact the amount of U.S. Dollars that we would require to settle the Euro-denominated debt at maturity of these agreements. A hypothetical 10% change in the U.S. Dollar in comparison to the Euro exchange rate upon inception of the cross-currency interest rate swap would have increased/decreased our obligation to cash settle the exchanged principal portion in U.S. Dollars by approximately $46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Non-derivative Hedge - 2026 Secured and Unsecured Euro Notes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7" w:name="page78"/>
    <w:bookmarkEnd w:id="77"/>
    <w:p>
      <w:pPr>
        <w:ind w:right="320" w:firstLine="648"/>
        <w:spacing w:after="0" w:line="263" w:lineRule="auto"/>
        <w:rPr>
          <w:sz w:val="20"/>
          <w:szCs w:val="20"/>
          <w:color w:val="auto"/>
        </w:rPr>
      </w:pPr>
      <w:r>
        <w:rPr>
          <w:rFonts w:ascii="Arial" w:cs="Arial" w:eastAsia="Arial" w:hAnsi="Arial"/>
          <w:sz w:val="18"/>
          <w:szCs w:val="18"/>
          <w:color w:val="auto"/>
        </w:rPr>
        <w:t>We designated a portion of our 2026 Secured Euro Notes as a net investment non-derivative hedge of our investments in certain of our international subsidiaries that use the Euro as their functional currency in order to reduce the volatility in our operating results caused by the changes in foreign currency exchange rates of the Euro with respect to the U.S. Dollar.</w:t>
      </w:r>
    </w:p>
    <w:p>
      <w:pPr>
        <w:spacing w:after="0" w:line="11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Fluctuations in the exchange rates between the Euro and the U.S. Dollar will impact the amount of U.S. Dollars that we will require to settle the 2026 Secured Euro Notes and 2026 Unsecured Euro Notes at maturity. A hypothetical 10% change in U.S. Dollar in comparison to the Euro as of December 31, 2021, would have increased/decreased our obligation to cash settle the principal portion of the 2026 Secured and Unsecured Euro Notes in U.S. Dollars by approximately $65 million.</w:t>
      </w:r>
    </w:p>
    <w:p>
      <w:pPr>
        <w:spacing w:after="0" w:line="10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completion of the Pending Divestitures is expected to result in a reduction of net investments in our international subsidiaries available for hedging, which could result in increased volatility in our operating results.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additional information regarding interest rate swap contracts, cross-currency interest rate swaps and net investment non-derivative hedges 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16.</w:t>
      </w:r>
    </w:p>
    <w:p>
      <w:pPr>
        <w:spacing w:after="0" w:line="1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48" w:lineRule="exact"/>
        <w:rPr>
          <w:sz w:val="20"/>
          <w:szCs w:val="20"/>
          <w:color w:val="auto"/>
        </w:rPr>
      </w:pPr>
    </w:p>
    <w:p>
      <w:pPr>
        <w:ind w:right="120"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financial statements and other information required by this item are included in </w:t>
      </w:r>
      <w:r>
        <w:rPr>
          <w:rFonts w:ascii="Arial" w:cs="Arial" w:eastAsia="Arial" w:hAnsi="Arial"/>
          <w:sz w:val="18"/>
          <w:szCs w:val="18"/>
          <w:i w:val="1"/>
          <w:iCs w:val="1"/>
          <w:color w:val="auto"/>
        </w:rPr>
        <w:t>Part IV, Item 15</w:t>
      </w:r>
      <w:r>
        <w:rPr>
          <w:rFonts w:ascii="Arial" w:cs="Arial" w:eastAsia="Arial" w:hAnsi="Arial"/>
          <w:sz w:val="18"/>
          <w:szCs w:val="18"/>
          <w:color w:val="auto"/>
        </w:rPr>
        <w:t xml:space="preserve"> of this Annual Report on Form 10-K and are presented beginning on page </w:t>
      </w:r>
      <w:hyperlink w:anchor="page81">
        <w:r>
          <w:rPr>
            <w:rFonts w:ascii="Arial" w:cs="Arial" w:eastAsia="Arial" w:hAnsi="Arial"/>
            <w:sz w:val="18"/>
            <w:szCs w:val="18"/>
            <w:u w:val="single" w:color="auto"/>
            <w:color w:val="0000FF"/>
          </w:rPr>
          <w:t>82</w:t>
        </w:r>
      </w:hyperlink>
      <w:r>
        <w:rPr>
          <w:rFonts w:ascii="Arial" w:cs="Arial" w:eastAsia="Arial" w:hAnsi="Arial"/>
          <w:sz w:val="18"/>
          <w:szCs w:val="18"/>
          <w:color w:val="auto"/>
        </w:rPr>
        <w:t>.</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An evaluation was performed under the supervision and with the participation of management, including the Chief Executive Officer (“CEO”) and Chief Financial Officer (“CFO”), of the effectiveness of the design and operation of our disclosure controls and procedures, as that term is defined in Rule 13a-15(e) under the Exchange Act, as of the end of the period covered by this annual report. Based on that evaluation, the CEO and CFO concluded that our disclosure controls and procedures are effective as of the end of the period covered by this annual report.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management of SGC is responsible for establishing and maintaining adequate internal control over financial reporting as such term is defined in Rule 13a-15(f) under the Exchange Act.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the assets of SGC; (ii)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 (iii) provide reasonable assurance regarding prevention or timely detection of unauthorized acquisition, use, or disposition of our assets that could have a material effect on the financial statements.</w:t>
      </w:r>
    </w:p>
    <w:p>
      <w:pPr>
        <w:spacing w:after="0" w:line="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assessed the effectiveness of our internal control over financial reporting as of December 31, 2021. In making this assessment, we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Based on our assessment we concluded that, as of December 31, 2021, our internal control over financial reporting was effective based on those criteria.</w:t>
      </w:r>
    </w:p>
    <w:p>
      <w:pPr>
        <w:spacing w:after="0" w:line="11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Deloitte &amp; Touche LLP, our independent registered public accounting firm. Their report is included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8" w:name="page79"/>
    <w:bookmarkEnd w:id="78"/>
    <w:p>
      <w:pPr>
        <w:ind w:right="5040"/>
        <w:spacing w:after="0" w:line="439"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stockholders and the Board of Directors of Scientific Games Corporation:</w:t>
      </w: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Scientific Games Corporation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March 1, 2022 expressed an unqualified opinion on those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9" w:name="page80"/>
    <w:bookmarkEnd w:id="79"/>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80" w:name="page81"/>
    <w:bookmarkEnd w:id="80"/>
    <w:p>
      <w:pPr>
        <w:ind w:left="526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4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We have adopted a Code of Business Conduct that applies to all of our officers, directors and employees (including our CEO, CFO and Chief Accounting Officer) and have posted the Code of Business Conduct on our website at </w:t>
      </w:r>
      <w:r>
        <w:rPr>
          <w:rFonts w:ascii="Arial" w:cs="Arial" w:eastAsia="Arial" w:hAnsi="Arial"/>
          <w:sz w:val="17"/>
          <w:szCs w:val="17"/>
          <w:u w:val="single" w:color="auto"/>
          <w:color w:val="0563C1"/>
        </w:rPr>
        <w:t>www.scientificgames.com/investors/corporate-governance/code-of-business-conduct</w:t>
      </w:r>
      <w:r>
        <w:rPr>
          <w:rFonts w:ascii="Arial" w:cs="Arial" w:eastAsia="Arial" w:hAnsi="Arial"/>
          <w:sz w:val="17"/>
          <w:szCs w:val="17"/>
          <w:color w:val="000000"/>
        </w:rPr>
        <w:t>. In the event that we have any amendments to or waivers from any provision of the Code of Business Conduct applicable to our CEO,</w:t>
      </w:r>
      <w:r>
        <w:rPr>
          <w:rFonts w:ascii="Arial" w:cs="Arial" w:eastAsia="Arial" w:hAnsi="Arial"/>
          <w:sz w:val="17"/>
          <w:szCs w:val="17"/>
          <w:color w:val="0563C1"/>
        </w:rPr>
        <w:t xml:space="preserve"> </w:t>
      </w:r>
      <w:r>
        <w:rPr>
          <w:rFonts w:ascii="Arial" w:cs="Arial" w:eastAsia="Arial" w:hAnsi="Arial"/>
          <w:sz w:val="17"/>
          <w:szCs w:val="17"/>
          <w:color w:val="000000"/>
        </w:rPr>
        <w:t xml:space="preserve">CFO or Chief Accounting Officer, we intend to satisfy the disclosure requirement under Item 5.05 of Form 8-K by posting such information on our website at </w:t>
      </w:r>
      <w:r>
        <w:rPr>
          <w:rFonts w:ascii="Arial" w:cs="Arial" w:eastAsia="Arial" w:hAnsi="Arial"/>
          <w:sz w:val="17"/>
          <w:szCs w:val="17"/>
          <w:u w:val="single" w:color="auto"/>
          <w:color w:val="0563C1"/>
        </w:rPr>
        <w:t>www.scientificgames.com/investors/corporate-governance</w:t>
      </w:r>
      <w:r>
        <w:rPr>
          <w:rFonts w:ascii="Arial" w:cs="Arial" w:eastAsia="Arial" w:hAnsi="Arial"/>
          <w:sz w:val="17"/>
          <w:szCs w:val="17"/>
          <w:color w:val="000000"/>
        </w:rPr>
        <w:t>.</w:t>
      </w:r>
    </w:p>
    <w:p>
      <w:pPr>
        <w:spacing w:after="0" w:line="10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Information relating to our executive officers is included in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of this Annual Report on Form 10-K. The other information called for by this item is incorporated by reference to our definitive proxy statement relating to our 2022 annual meeting of stockholders, which will be filed with the SEC. If such proxy statement is not filed on or before April 30, 2022, the information called for by this item will be filed as part of an amendment to this Annual Report on Form 10-K on or before such date.</w:t>
      </w:r>
    </w:p>
    <w:p>
      <w:pPr>
        <w:spacing w:after="0" w:line="1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called for by this item is incorporated herein by reference to our definitive proxy statement relating to our 2022 annual meeting of stockholders, which will be filed with the SEC. If such proxy statement is not filed on or before April 30, 2022, the information called for by this item will be filed as part of an amendment to this Annual Report on Form 10-K on or before such date.</w:t>
      </w:r>
    </w:p>
    <w:p>
      <w:pPr>
        <w:spacing w:after="0" w:line="11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called for by this item is incorporated herein by reference to our definitive proxy statement relating to our 2022 annual meeting of stockholders, which will be filed with the SEC. If such proxy statement is not filed on or before April 30, 2022, the information called for by this item will be filed as part of an amendment to this Annual Report on Form 10-K on or before such date.</w:t>
      </w:r>
    </w:p>
    <w:p>
      <w:pPr>
        <w:spacing w:after="0" w:line="9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called for by this item is incorporated herein by reference to our definitive proxy statement relating to our 2022 annual meeting of stockholders, which will be filed with the SEC. If such proxy statement is not filed on or before April 30, 2022, the information called for by this item will be filed as part of an amendment to this Annual Report on Form 10-K on or before such date.</w:t>
      </w:r>
    </w:p>
    <w:p>
      <w:pPr>
        <w:spacing w:after="0" w:line="11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called for by this item is incorporated herein by reference to our definitive proxy statement relating to our 2022 annual meeting of stockholders, which will be filed with the SEC. If such proxy statement is not filed on or before April 30, 2022, the information called for by this item will be filed as part of an amendment to this Annual Report on Form 10-K on or before such date.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20" w:type="dxa"/>
            <w:vAlign w:val="bottom"/>
            <w:gridSpan w:val="4"/>
          </w:tcPr>
          <w:p>
            <w:pPr>
              <w:jc w:val="center"/>
              <w:ind w:right="348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520" w:type="dxa"/>
            <w:vAlign w:val="bottom"/>
            <w:gridSpan w:val="11"/>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520" w:type="dxa"/>
            <w:vAlign w:val="bottom"/>
            <w:gridSpan w:val="11"/>
            <w:vMerge w:val="restart"/>
          </w:tcPr>
          <w:p>
            <w:pPr>
              <w:ind w:left="20"/>
              <w:spacing w:after="0"/>
              <w:rPr>
                <w:sz w:val="20"/>
                <w:szCs w:val="20"/>
                <w:color w:val="auto"/>
              </w:rPr>
            </w:pPr>
            <w:r>
              <w:rPr>
                <w:rFonts w:ascii="Arial" w:cs="Arial" w:eastAsia="Arial" w:hAnsi="Arial"/>
                <w:sz w:val="18"/>
                <w:szCs w:val="18"/>
                <w:color w:val="auto"/>
              </w:rPr>
              <w:t>1. Financial Statements:</w:t>
            </w:r>
          </w:p>
        </w:tc>
        <w:tc>
          <w:tcPr>
            <w:tcW w:w="172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color w:val="auto"/>
              </w:rPr>
              <w:t>Form 10-K Page</w:t>
            </w:r>
          </w:p>
        </w:tc>
        <w:tc>
          <w:tcPr>
            <w:tcW w:w="0" w:type="dxa"/>
            <w:vAlign w:val="bottom"/>
          </w:tcPr>
          <w:p>
            <w:pPr>
              <w:spacing w:after="0"/>
              <w:rPr>
                <w:sz w:val="1"/>
                <w:szCs w:val="1"/>
                <w:color w:val="auto"/>
              </w:rPr>
            </w:pPr>
          </w:p>
        </w:tc>
      </w:tr>
      <w:tr>
        <w:trPr>
          <w:trHeight w:val="209"/>
        </w:trPr>
        <w:tc>
          <w:tcPr>
            <w:tcW w:w="9520" w:type="dxa"/>
            <w:vAlign w:val="bottom"/>
            <w:gridSpan w:val="11"/>
            <w:vMerge w:val="continue"/>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960" w:type="dxa"/>
            <w:vAlign w:val="bottom"/>
            <w:gridSpan w:val="9"/>
          </w:tcPr>
          <w:p>
            <w:pPr>
              <w:spacing w:after="0" w:line="190" w:lineRule="exact"/>
              <w:rPr>
                <w:rFonts w:ascii="Arial" w:cs="Arial" w:eastAsia="Arial" w:hAnsi="Arial"/>
                <w:sz w:val="18"/>
                <w:szCs w:val="18"/>
                <w:color w:val="0000FF"/>
              </w:rPr>
            </w:pPr>
            <w:hyperlink w:anchor="page82">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34)</w:t>
            </w:r>
          </w:p>
        </w:tc>
        <w:tc>
          <w:tcPr>
            <w:tcW w:w="960" w:type="dxa"/>
            <w:vAlign w:val="bottom"/>
            <w:gridSpan w:val="3"/>
          </w:tcPr>
          <w:p>
            <w:pPr>
              <w:jc w:val="center"/>
              <w:ind w:left="690"/>
              <w:spacing w:after="0" w:line="190"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83</w:t>
              </w:r>
            </w:hyperlink>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60" w:type="dxa"/>
            <w:vAlign w:val="bottom"/>
            <w:gridSpan w:val="9"/>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 xml:space="preserve">Consolidated </w:t>
              </w:r>
            </w:hyperlink>
            <w:hyperlink w:anchor="page84">
              <w:r>
                <w:rPr>
                  <w:rFonts w:ascii="Arial" w:cs="Arial" w:eastAsia="Arial" w:hAnsi="Arial"/>
                  <w:sz w:val="18"/>
                  <w:szCs w:val="18"/>
                  <w:color w:val="0000FF"/>
                </w:rPr>
                <w:t>Statements of Operations for the years ended December 31, 2021, 2020 and 2019</w:t>
              </w:r>
            </w:hyperlink>
          </w:p>
        </w:tc>
        <w:tc>
          <w:tcPr>
            <w:tcW w:w="960" w:type="dxa"/>
            <w:vAlign w:val="bottom"/>
            <w:gridSpan w:val="3"/>
          </w:tcPr>
          <w:p>
            <w:pPr>
              <w:jc w:val="center"/>
              <w:ind w:left="690"/>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85</w:t>
              </w:r>
            </w:hyperlink>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80" w:type="dxa"/>
            <w:vAlign w:val="bottom"/>
            <w:gridSpan w:val="8"/>
          </w:tcPr>
          <w:p>
            <w:pP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Consolidated Statements of Comprehensive Income (Loss) for the years ended December 31, 2021, 2020 and 2019</w:t>
              </w:r>
            </w:hyperlink>
          </w:p>
        </w:tc>
        <w:tc>
          <w:tcPr>
            <w:tcW w:w="680" w:type="dxa"/>
            <w:vAlign w:val="bottom"/>
          </w:tcPr>
          <w:p>
            <w:pPr>
              <w:spacing w:after="0"/>
              <w:rPr>
                <w:sz w:val="18"/>
                <w:szCs w:val="18"/>
                <w:color w:val="auto"/>
              </w:rPr>
            </w:pPr>
          </w:p>
        </w:tc>
        <w:tc>
          <w:tcPr>
            <w:tcW w:w="960" w:type="dxa"/>
            <w:vAlign w:val="bottom"/>
            <w:gridSpan w:val="3"/>
          </w:tcPr>
          <w:p>
            <w:pPr>
              <w:jc w:val="center"/>
              <w:ind w:left="690"/>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86</w:t>
              </w:r>
            </w:hyperlink>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40" w:type="dxa"/>
            <w:vAlign w:val="bottom"/>
            <w:gridSpan w:val="5"/>
          </w:tcPr>
          <w:p>
            <w:pPr>
              <w:spacing w:after="0"/>
              <w:rPr>
                <w:rFonts w:ascii="Arial" w:cs="Arial" w:eastAsia="Arial" w:hAnsi="Arial"/>
                <w:sz w:val="18"/>
                <w:szCs w:val="18"/>
                <w:color w:val="0000FF"/>
                <w:w w:val="88"/>
              </w:rPr>
            </w:pPr>
            <w:hyperlink w:anchor="page86">
              <w:r>
                <w:rPr>
                  <w:rFonts w:ascii="Arial" w:cs="Arial" w:eastAsia="Arial" w:hAnsi="Arial"/>
                  <w:sz w:val="18"/>
                  <w:szCs w:val="18"/>
                  <w:color w:val="0000FF"/>
                  <w:w w:val="88"/>
                </w:rPr>
                <w:t>Consolidated Balance Sheets as of December 31, 2021 and 2020</w:t>
              </w:r>
            </w:hyperlink>
          </w:p>
        </w:tc>
        <w:tc>
          <w:tcPr>
            <w:tcW w:w="364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gridSpan w:val="3"/>
          </w:tcPr>
          <w:p>
            <w:pPr>
              <w:jc w:val="center"/>
              <w:ind w:left="690"/>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87</w:t>
              </w:r>
            </w:hyperlink>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0" w:type="dxa"/>
            <w:vAlign w:val="bottom"/>
            <w:gridSpan w:val="7"/>
          </w:tcPr>
          <w:p>
            <w:pPr>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Consolidated Statements of Stockholders’ Deficit for the years ended December 31, 2021, 2020 and 2019</w:t>
              </w:r>
            </w:hyperlink>
          </w:p>
        </w:tc>
        <w:tc>
          <w:tcPr>
            <w:tcW w:w="1360" w:type="dxa"/>
            <w:vAlign w:val="bottom"/>
            <w:gridSpan w:val="2"/>
          </w:tcPr>
          <w:p>
            <w:pPr>
              <w:spacing w:after="0"/>
              <w:rPr>
                <w:sz w:val="18"/>
                <w:szCs w:val="18"/>
                <w:color w:val="auto"/>
              </w:rPr>
            </w:pPr>
          </w:p>
        </w:tc>
        <w:tc>
          <w:tcPr>
            <w:tcW w:w="960" w:type="dxa"/>
            <w:vAlign w:val="bottom"/>
            <w:gridSpan w:val="3"/>
          </w:tcPr>
          <w:p>
            <w:pPr>
              <w:jc w:val="center"/>
              <w:ind w:left="690"/>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88</w:t>
              </w:r>
            </w:hyperlink>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gridSpan w:val="6"/>
          </w:tcPr>
          <w:p>
            <w:pPr>
              <w:spacing w:after="0"/>
              <w:rPr>
                <w:rFonts w:ascii="Arial" w:cs="Arial" w:eastAsia="Arial" w:hAnsi="Arial"/>
                <w:sz w:val="18"/>
                <w:szCs w:val="18"/>
                <w:color w:val="0000FF"/>
                <w:w w:val="87"/>
              </w:rPr>
            </w:pPr>
            <w:hyperlink w:anchor="page88">
              <w:r>
                <w:rPr>
                  <w:rFonts w:ascii="Arial" w:cs="Arial" w:eastAsia="Arial" w:hAnsi="Arial"/>
                  <w:sz w:val="18"/>
                  <w:szCs w:val="18"/>
                  <w:color w:val="0000FF"/>
                  <w:w w:val="87"/>
                </w:rPr>
                <w:t>Consolidated Statements of Cash Flows for the years ended December 31, 2021, 2020 and 2019</w:t>
              </w:r>
            </w:hyperlink>
          </w:p>
        </w:tc>
        <w:tc>
          <w:tcPr>
            <w:tcW w:w="7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960" w:type="dxa"/>
            <w:vAlign w:val="bottom"/>
            <w:gridSpan w:val="3"/>
          </w:tcPr>
          <w:p>
            <w:pPr>
              <w:jc w:val="center"/>
              <w:ind w:left="690"/>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89</w:t>
              </w:r>
            </w:hyperlink>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gridSpan w:val="6"/>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Notes to Consolidated Financial Statements</w:t>
              </w:r>
            </w:hyperlink>
          </w:p>
        </w:tc>
        <w:tc>
          <w:tcPr>
            <w:tcW w:w="2120" w:type="dxa"/>
            <w:vAlign w:val="bottom"/>
            <w:gridSpan w:val="3"/>
          </w:tcPr>
          <w:p>
            <w:pPr>
              <w:spacing w:after="0"/>
              <w:rPr>
                <w:sz w:val="18"/>
                <w:szCs w:val="18"/>
                <w:color w:val="auto"/>
              </w:rPr>
            </w:pPr>
          </w:p>
        </w:tc>
        <w:tc>
          <w:tcPr>
            <w:tcW w:w="960" w:type="dxa"/>
            <w:vAlign w:val="bottom"/>
            <w:gridSpan w:val="3"/>
          </w:tcPr>
          <w:p>
            <w:pPr>
              <w:jc w:val="center"/>
              <w:ind w:left="690"/>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91</w:t>
              </w:r>
            </w:hyperlink>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520" w:type="dxa"/>
            <w:vAlign w:val="bottom"/>
            <w:gridSpan w:val="11"/>
          </w:tcPr>
          <w:p>
            <w:pPr>
              <w:ind w:left="20"/>
              <w:spacing w:after="0"/>
              <w:rPr>
                <w:sz w:val="20"/>
                <w:szCs w:val="20"/>
                <w:color w:val="auto"/>
              </w:rPr>
            </w:pPr>
            <w:r>
              <w:rPr>
                <w:rFonts w:ascii="Arial" w:cs="Arial" w:eastAsia="Arial" w:hAnsi="Arial"/>
                <w:sz w:val="18"/>
                <w:szCs w:val="18"/>
                <w:color w:val="auto"/>
              </w:rPr>
              <w:t>2. Financial Statement Schedule:</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20" w:type="dxa"/>
            <w:vAlign w:val="bottom"/>
            <w:tcBorders>
              <w:bottom w:val="single" w:sz="8" w:color="0000FF"/>
            </w:tcBorders>
            <w:gridSpan w:val="3"/>
          </w:tcPr>
          <w:p>
            <w:pPr>
              <w:spacing w:after="0" w:line="190" w:lineRule="exact"/>
              <w:rPr>
                <w:rFonts w:ascii="Arial" w:cs="Arial" w:eastAsia="Arial" w:hAnsi="Arial"/>
                <w:sz w:val="18"/>
                <w:szCs w:val="18"/>
                <w:color w:val="0000FF"/>
                <w:w w:val="92"/>
              </w:rPr>
            </w:pPr>
            <w:hyperlink w:anchor="page130">
              <w:r>
                <w:rPr>
                  <w:rFonts w:ascii="Arial" w:cs="Arial" w:eastAsia="Arial" w:hAnsi="Arial"/>
                  <w:sz w:val="18"/>
                  <w:szCs w:val="18"/>
                  <w:color w:val="0000FF"/>
                  <w:w w:val="92"/>
                </w:rPr>
                <w:t>Schedule II - Valuation and Qualifying Accounts</w:t>
              </w:r>
            </w:hyperlink>
          </w:p>
        </w:tc>
        <w:tc>
          <w:tcPr>
            <w:tcW w:w="5440" w:type="dxa"/>
            <w:vAlign w:val="bottom"/>
            <w:gridSpan w:val="6"/>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Borders>
              <w:bottom w:val="single" w:sz="8" w:color="0000FF"/>
            </w:tcBorders>
            <w:gridSpan w:val="3"/>
          </w:tcPr>
          <w:p>
            <w:pPr>
              <w:jc w:val="center"/>
              <w:spacing w:after="0" w:line="190" w:lineRule="exact"/>
              <w:rPr>
                <w:rFonts w:ascii="Arial" w:cs="Arial" w:eastAsia="Arial" w:hAnsi="Arial"/>
                <w:sz w:val="18"/>
                <w:szCs w:val="18"/>
                <w:color w:val="0000FF"/>
                <w:w w:val="93"/>
              </w:rPr>
            </w:pPr>
            <w:hyperlink w:anchor="page130">
              <w:r>
                <w:rPr>
                  <w:rFonts w:ascii="Arial" w:cs="Arial" w:eastAsia="Arial" w:hAnsi="Arial"/>
                  <w:sz w:val="18"/>
                  <w:szCs w:val="18"/>
                  <w:color w:val="0000FF"/>
                  <w:w w:val="93"/>
                </w:rPr>
                <w:t>131</w:t>
              </w:r>
            </w:hyperlink>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520" w:type="dxa"/>
            <w:vAlign w:val="bottom"/>
            <w:gridSpan w:val="11"/>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3. </w:t>
            </w:r>
            <w:hyperlink w:anchor="page131">
              <w:r>
                <w:rPr>
                  <w:rFonts w:ascii="Arial" w:cs="Arial" w:eastAsia="Arial" w:hAnsi="Arial"/>
                  <w:sz w:val="18"/>
                  <w:szCs w:val="18"/>
                  <w:color w:val="0000FF"/>
                </w:rPr>
                <w:t>Exhibits</w:t>
              </w:r>
            </w:hyperlink>
          </w:p>
        </w:tc>
        <w:tc>
          <w:tcPr>
            <w:tcW w:w="1720" w:type="dxa"/>
            <w:vAlign w:val="bottom"/>
            <w:gridSpan w:val="5"/>
          </w:tcPr>
          <w:p>
            <w:pPr>
              <w:jc w:val="center"/>
              <w:spacing w:after="0"/>
              <w:rPr>
                <w:rFonts w:ascii="Arial" w:cs="Arial" w:eastAsia="Arial" w:hAnsi="Arial"/>
                <w:sz w:val="18"/>
                <w:szCs w:val="18"/>
                <w:color w:val="0000FF"/>
                <w:w w:val="93"/>
              </w:rPr>
            </w:pPr>
            <w:hyperlink w:anchor="page131">
              <w:r>
                <w:rPr>
                  <w:rFonts w:ascii="Arial" w:cs="Arial" w:eastAsia="Arial" w:hAnsi="Arial"/>
                  <w:sz w:val="18"/>
                  <w:szCs w:val="18"/>
                  <w:color w:val="0000FF"/>
                  <w:w w:val="93"/>
                </w:rPr>
                <w:t>132</w:t>
              </w:r>
            </w:hyperlink>
          </w:p>
        </w:tc>
        <w:tc>
          <w:tcPr>
            <w:tcW w:w="0" w:type="dxa"/>
            <w:vAlign w:val="bottom"/>
          </w:tcPr>
          <w:p>
            <w:pPr>
              <w:spacing w:after="0"/>
              <w:rPr>
                <w:sz w:val="1"/>
                <w:szCs w:val="1"/>
                <w:color w:val="auto"/>
              </w:rPr>
            </w:pPr>
          </w:p>
        </w:tc>
      </w:tr>
      <w:tr>
        <w:trPr>
          <w:trHeight w:val="884"/>
        </w:trPr>
        <w:tc>
          <w:tcPr>
            <w:tcW w:w="20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6600" w:type="dxa"/>
            <w:vAlign w:val="bottom"/>
            <w:gridSpan w:val="5"/>
          </w:tcPr>
          <w:p>
            <w:pPr>
              <w:jc w:val="right"/>
              <w:ind w:right="1590"/>
              <w:spacing w:after="0"/>
              <w:rPr>
                <w:sz w:val="20"/>
                <w:szCs w:val="20"/>
                <w:color w:val="auto"/>
              </w:rPr>
            </w:pPr>
            <w:r>
              <w:rPr>
                <w:rFonts w:ascii="Arial" w:cs="Arial" w:eastAsia="Arial" w:hAnsi="Arial"/>
                <w:sz w:val="18"/>
                <w:szCs w:val="18"/>
                <w:color w:val="auto"/>
              </w:rPr>
              <w:t>82</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Scientific Games Corporation: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have audited the accompanying consolidated balance sheets of Scientific Games Corporation and subsidiaries (the “Company”) as of December 31, 2021 and 2020, and the related consolidated statements of operations, comprehensive income (loss), stockholders’ deficit, and cash flows, for each of the three years in the period ended December 31, 2021, and the related notes and the schedule listed in the Index at Item 15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2022, expressed an unqualified opinion on the Company’s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4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 Refer to Note 19 to the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Company recognizes deferred tax assets (“DTAs”) and deferred tax liabilities (“DTLs”) for the expected future tax consequences of temporary differences between the financial reporting and tax basis of assets and liabilities. If, based upon all available evidence, both positive and negative, it is more likely than not that such DTAs will not be realized, a valuation allowance is recorded. The Company has incurred cumulative pre-tax losses over the three-year period ended December 31, 2021, which represents significant objective negative evidence that the currently recorded deferred tax assets are not more likely than not to be realizable. However, as of December 31, 2021, the Company has entered into definitive agreements to sell its Sports Betting and Lottery businesses and the taxable gains to be recognized upon disposition of these businesses lead management to conclude that the net U.S. federal and certain state deferred tax assets are more likely than not to be realized. Accordingly, management reversed a portion of the Company’s valuation allowances on its U.S. deferred income tax assets. This reversal resulted in $252 million of income tax benefit recognized during the year.</w:t>
      </w:r>
    </w:p>
    <w:p>
      <w:pPr>
        <w:spacing w:after="0" w:line="10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identified management’s determination in the current year that it is more likely than not that sufficient taxable income will be generated in the future to realize U.S. federal and certain state deferred tax assets as a critical audit matter because of the significant judgments management makes related to estimating future taxable income. This required a high degree of auditor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3" w:name="page84"/>
    <w:bookmarkEnd w:id="83"/>
    <w:p>
      <w:pPr>
        <w:ind w:right="280"/>
        <w:spacing w:after="0" w:line="261" w:lineRule="auto"/>
        <w:rPr>
          <w:sz w:val="20"/>
          <w:szCs w:val="20"/>
          <w:color w:val="auto"/>
        </w:rPr>
      </w:pPr>
      <w:r>
        <w:rPr>
          <w:rFonts w:ascii="Arial" w:cs="Arial" w:eastAsia="Arial" w:hAnsi="Arial"/>
          <w:sz w:val="18"/>
          <w:szCs w:val="18"/>
          <w:color w:val="auto"/>
        </w:rPr>
        <w:t>judgment and an increased extent of effort, including the need to involve our income tax specialists, when performing audit procedures to evaluate the reasonableness of management’s estimates of future taxable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audit procedures related to management’s determination in the current year that it is more likely than not that sufficient future taxable income will be generated to realize U.S. federal and certain state deferred tax assets included the following, among others:</w:t>
      </w:r>
    </w:p>
    <w:p>
      <w:pPr>
        <w:spacing w:after="0" w:line="10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over</w:t>
      </w:r>
    </w:p>
    <w:p>
      <w:pPr>
        <w:spacing w:after="0" w:line="13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Judgments and estimates related to income taxes</w:t>
      </w:r>
    </w:p>
    <w:p>
      <w:pPr>
        <w:spacing w:after="0" w:line="144" w:lineRule="exact"/>
        <w:rPr>
          <w:rFonts w:ascii="Arial" w:cs="Arial" w:eastAsia="Arial" w:hAnsi="Arial"/>
          <w:sz w:val="18"/>
          <w:szCs w:val="18"/>
          <w:color w:val="auto"/>
        </w:rPr>
      </w:pPr>
    </w:p>
    <w:p>
      <w:pPr>
        <w:ind w:left="1300" w:right="500" w:hanging="324"/>
        <w:spacing w:after="0" w:line="261" w:lineRule="auto"/>
        <w:rPr>
          <w:rFonts w:ascii="Arial" w:cs="Arial" w:eastAsia="Arial" w:hAnsi="Arial"/>
          <w:sz w:val="18"/>
          <w:szCs w:val="18"/>
          <w:color w:val="auto"/>
        </w:rPr>
      </w:pPr>
      <w:r>
        <w:rPr>
          <w:rFonts w:ascii="Arial" w:cs="Arial" w:eastAsia="Arial" w:hAnsi="Arial"/>
          <w:sz w:val="18"/>
          <w:szCs w:val="18"/>
          <w:color w:val="auto"/>
        </w:rPr>
        <w:t>– The determination of whether it is more likely than not that sufficient taxable income will be generated in the future to realize the deferred tax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performed the following:</w:t>
      </w:r>
    </w:p>
    <w:p>
      <w:pPr>
        <w:spacing w:after="0" w:line="130" w:lineRule="exact"/>
        <w:rPr>
          <w:rFonts w:ascii="Arial" w:cs="Arial" w:eastAsia="Arial" w:hAnsi="Arial"/>
          <w:sz w:val="18"/>
          <w:szCs w:val="18"/>
          <w:color w:val="auto"/>
        </w:rPr>
      </w:pPr>
    </w:p>
    <w:p>
      <w:pPr>
        <w:ind w:left="1300" w:hanging="324"/>
        <w:spacing w:after="0" w:line="261" w:lineRule="auto"/>
        <w:rPr>
          <w:rFonts w:ascii="Arial" w:cs="Arial" w:eastAsia="Arial" w:hAnsi="Arial"/>
          <w:sz w:val="18"/>
          <w:szCs w:val="18"/>
          <w:color w:val="auto"/>
        </w:rPr>
      </w:pPr>
      <w:r>
        <w:rPr>
          <w:rFonts w:ascii="Arial" w:cs="Arial" w:eastAsia="Arial" w:hAnsi="Arial"/>
          <w:sz w:val="18"/>
          <w:szCs w:val="18"/>
          <w:color w:val="auto"/>
        </w:rPr>
        <w:t>– Evaluated the reasonableness of the methods, assumptions, and judgments used by management to determine whether a reversal of their valuation allowance was appropriate</w:t>
      </w:r>
    </w:p>
    <w:p>
      <w:pPr>
        <w:spacing w:after="0" w:line="103" w:lineRule="exact"/>
        <w:rPr>
          <w:rFonts w:ascii="Arial" w:cs="Arial" w:eastAsia="Arial" w:hAnsi="Arial"/>
          <w:sz w:val="18"/>
          <w:szCs w:val="18"/>
          <w:color w:val="auto"/>
        </w:rPr>
      </w:pPr>
    </w:p>
    <w:p>
      <w:pPr>
        <w:ind w:left="1300" w:right="320" w:hanging="324"/>
        <w:spacing w:after="0" w:line="324" w:lineRule="auto"/>
        <w:rPr>
          <w:rFonts w:ascii="Arial" w:cs="Arial" w:eastAsia="Arial" w:hAnsi="Arial"/>
          <w:sz w:val="18"/>
          <w:szCs w:val="18"/>
          <w:color w:val="auto"/>
        </w:rPr>
      </w:pPr>
      <w:r>
        <w:rPr>
          <w:rFonts w:ascii="Arial" w:cs="Arial" w:eastAsia="Arial" w:hAnsi="Arial"/>
          <w:sz w:val="16"/>
          <w:szCs w:val="16"/>
          <w:color w:val="auto"/>
        </w:rPr>
        <w:t>– Evaluated whether the sources of management’s estimated future taxable income were of the appropriate character, generated in the appropriate jurisdictions, and sufficient to utilize the U.S. federal and certain state deferred tax assets under the relevant tax law</w:t>
      </w:r>
    </w:p>
    <w:p>
      <w:pPr>
        <w:spacing w:after="0" w:line="56" w:lineRule="exact"/>
        <w:rPr>
          <w:rFonts w:ascii="Arial" w:cs="Arial" w:eastAsia="Arial" w:hAnsi="Arial"/>
          <w:sz w:val="18"/>
          <w:szCs w:val="18"/>
          <w:color w:val="auto"/>
        </w:rPr>
      </w:pPr>
    </w:p>
    <w:p>
      <w:pPr>
        <w:ind w:left="1300" w:right="420" w:hanging="324"/>
        <w:spacing w:after="0" w:line="261" w:lineRule="auto"/>
        <w:rPr>
          <w:rFonts w:ascii="Arial" w:cs="Arial" w:eastAsia="Arial" w:hAnsi="Arial"/>
          <w:sz w:val="18"/>
          <w:szCs w:val="18"/>
          <w:color w:val="auto"/>
        </w:rPr>
      </w:pPr>
      <w:r>
        <w:rPr>
          <w:rFonts w:ascii="Arial" w:cs="Arial" w:eastAsia="Arial" w:hAnsi="Arial"/>
          <w:sz w:val="18"/>
          <w:szCs w:val="18"/>
          <w:color w:val="auto"/>
        </w:rPr>
        <w:t>– Evaluated whether and to what extent relevant income tax law limitations would apply to limit the Company’s ability to utilize tax attributes that comprise a significant portion of the deferred tax assets</w:t>
      </w:r>
    </w:p>
    <w:p>
      <w:pPr>
        <w:spacing w:after="0" w:line="8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Evaluated whether the estimates of future taxable income were consistent with evidence obtained in other areas of the audit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43" w:right="47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SCIENTIFIC GAMES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6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Services</w:t>
            </w:r>
          </w:p>
        </w:tc>
        <w:tc>
          <w:tcPr>
            <w:tcW w:w="940" w:type="dxa"/>
            <w:vAlign w:val="bottom"/>
          </w:tcPr>
          <w:p>
            <w:pPr>
              <w:jc w:val="right"/>
              <w:ind w:right="73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1,504</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23"/>
        </w:trPr>
        <w:tc>
          <w:tcPr>
            <w:tcW w:w="668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2,388</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680" w:type="dxa"/>
            <w:vAlign w:val="bottom"/>
          </w:tcPr>
          <w:p>
            <w:pPr>
              <w:ind w:left="140"/>
              <w:spacing w:after="0" w:line="230" w:lineRule="exact"/>
              <w:rPr>
                <w:sz w:val="20"/>
                <w:szCs w:val="20"/>
                <w:color w:val="auto"/>
              </w:rPr>
            </w:pPr>
            <w:r>
              <w:rPr>
                <w:rFonts w:ascii="Arial" w:cs="Arial" w:eastAsia="Arial" w:hAnsi="Arial"/>
                <w:sz w:val="18"/>
                <w:szCs w:val="18"/>
                <w:color w:val="auto"/>
              </w:rPr>
              <w:t>Cost of services</w:t>
            </w:r>
            <w:r>
              <w:rPr>
                <w:rFonts w:ascii="Arial" w:cs="Arial" w:eastAsia="Arial" w:hAnsi="Arial"/>
                <w:sz w:val="23"/>
                <w:szCs w:val="23"/>
                <w:color w:val="auto"/>
                <w:vertAlign w:val="superscript"/>
              </w:rPr>
              <w:t>(1)</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66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Cost of product sales</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Depreciation, amortization and impairments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impairment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other</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 (loss)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Loss on debt financing transactions</w:t>
            </w:r>
          </w:p>
        </w:tc>
        <w:tc>
          <w:tcPr>
            <w:tcW w:w="9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remeasurement of debt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23"/>
        </w:trPr>
        <w:tc>
          <w:tcPr>
            <w:tcW w:w="6680" w:type="dxa"/>
            <w:vAlign w:val="bottom"/>
          </w:tcPr>
          <w:p>
            <w:pPr>
              <w:ind w:left="340"/>
              <w:spacing w:after="0"/>
              <w:rPr>
                <w:sz w:val="20"/>
                <w:szCs w:val="20"/>
                <w:color w:val="auto"/>
              </w:rPr>
            </w:pPr>
            <w:r>
              <w:rPr>
                <w:rFonts w:ascii="Arial" w:cs="Arial" w:eastAsia="Arial" w:hAnsi="Arial"/>
                <w:sz w:val="18"/>
                <w:szCs w:val="18"/>
                <w:color w:val="auto"/>
              </w:rPr>
              <w:t>Net loss from continuing operations before income taxes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 net of tax</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66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680" w:type="dxa"/>
            <w:vAlign w:val="bottom"/>
          </w:tcPr>
          <w:p>
            <w:pPr>
              <w:ind w:left="340"/>
              <w:spacing w:after="0"/>
              <w:rPr>
                <w:sz w:val="20"/>
                <w:szCs w:val="20"/>
                <w:color w:val="auto"/>
              </w:rPr>
            </w:pPr>
            <w:r>
              <w:rPr>
                <w:rFonts w:ascii="Arial" w:cs="Arial" w:eastAsia="Arial" w:hAnsi="Arial"/>
                <w:sz w:val="18"/>
                <w:szCs w:val="18"/>
                <w:color w:val="auto"/>
              </w:rPr>
              <w:t>Net income (loss) attributable to SGC</w:t>
            </w:r>
          </w:p>
        </w:tc>
        <w:tc>
          <w:tcPr>
            <w:tcW w:w="9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Per Share - Basic:</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 from continuing operations</w:t>
            </w:r>
          </w:p>
        </w:tc>
        <w:tc>
          <w:tcPr>
            <w:tcW w:w="9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6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SGC</w:t>
            </w:r>
          </w:p>
        </w:tc>
        <w:tc>
          <w:tcPr>
            <w:tcW w:w="9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 Diluted:</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6680" w:type="dxa"/>
            <w:vAlign w:val="bottom"/>
          </w:tcPr>
          <w:p>
            <w:pPr>
              <w:ind w:left="240"/>
              <w:spacing w:after="0"/>
              <w:rPr>
                <w:sz w:val="20"/>
                <w:szCs w:val="20"/>
                <w:color w:val="auto"/>
              </w:rPr>
            </w:pPr>
            <w:r>
              <w:rPr>
                <w:rFonts w:ascii="Arial" w:cs="Arial" w:eastAsia="Arial" w:hAnsi="Arial"/>
                <w:sz w:val="18"/>
                <w:szCs w:val="18"/>
                <w:color w:val="auto"/>
              </w:rPr>
              <w:t>Net income (loss) from continuing operations</w:t>
            </w:r>
          </w:p>
        </w:tc>
        <w:tc>
          <w:tcPr>
            <w:tcW w:w="940" w:type="dxa"/>
            <w:vAlign w:val="bottom"/>
          </w:tcPr>
          <w:p>
            <w:pPr>
              <w:jc w:val="right"/>
              <w:ind w:right="73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36"/>
        </w:trPr>
        <w:tc>
          <w:tcPr>
            <w:tcW w:w="6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9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Net income (loss) attributable to SGC</w:t>
            </w:r>
          </w:p>
        </w:tc>
        <w:tc>
          <w:tcPr>
            <w:tcW w:w="9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00"/>
          </w:cols>
          <w:pgMar w:left="340" w:top="891" w:right="359" w:bottom="1440" w:gutter="0" w:footer="0" w:header="0"/>
        </w:sectPr>
      </w:pPr>
    </w:p>
    <w:p>
      <w:pPr>
        <w:ind w:left="20"/>
        <w:spacing w:after="0"/>
        <w:rPr>
          <w:sz w:val="20"/>
          <w:szCs w:val="20"/>
          <w:color w:val="auto"/>
        </w:rPr>
      </w:pPr>
      <w:r>
        <w:rPr>
          <w:rFonts w:ascii="Arial" w:cs="Arial" w:eastAsia="Arial" w:hAnsi="Arial"/>
          <w:sz w:val="15"/>
          <w:szCs w:val="15"/>
          <w:color w:val="auto"/>
        </w:rPr>
        <w:t>Weighted average number of shares used in per share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711517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 shares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Diluted shares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Excludes D&amp;A.</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590"/>
              <w:spacing w:after="0"/>
              <w:rPr>
                <w:sz w:val="20"/>
                <w:szCs w:val="20"/>
                <w:color w:val="auto"/>
              </w:rPr>
            </w:pPr>
            <w:r>
              <w:rPr>
                <w:rFonts w:ascii="Arial" w:cs="Arial" w:eastAsia="Arial" w:hAnsi="Arial"/>
                <w:sz w:val="18"/>
                <w:szCs w:val="18"/>
                <w:color w:val="auto"/>
                <w:w w:val="79"/>
              </w:rPr>
              <w:t>96</w:t>
            </w:r>
          </w:p>
        </w:tc>
        <w:tc>
          <w:tcPr>
            <w:tcW w:w="1540" w:type="dxa"/>
            <w:vAlign w:val="bottom"/>
          </w:tcPr>
          <w:p>
            <w:pPr>
              <w:jc w:val="right"/>
              <w:ind w:right="590"/>
              <w:spacing w:after="0"/>
              <w:rPr>
                <w:sz w:val="20"/>
                <w:szCs w:val="20"/>
                <w:color w:val="auto"/>
              </w:rPr>
            </w:pPr>
            <w:r>
              <w:rPr>
                <w:rFonts w:ascii="Arial" w:cs="Arial" w:eastAsia="Arial" w:hAnsi="Arial"/>
                <w:sz w:val="18"/>
                <w:szCs w:val="18"/>
                <w:color w:val="auto"/>
              </w:rPr>
              <w:t>95</w:t>
            </w: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860" w:type="dxa"/>
            <w:vAlign w:val="bottom"/>
          </w:tcPr>
          <w:p>
            <w:pPr>
              <w:jc w:val="right"/>
              <w:ind w:right="590"/>
              <w:spacing w:after="0"/>
              <w:rPr>
                <w:sz w:val="20"/>
                <w:szCs w:val="20"/>
                <w:color w:val="auto"/>
              </w:rPr>
            </w:pPr>
            <w:r>
              <w:rPr>
                <w:rFonts w:ascii="Arial" w:cs="Arial" w:eastAsia="Arial" w:hAnsi="Arial"/>
                <w:sz w:val="18"/>
                <w:szCs w:val="18"/>
                <w:color w:val="auto"/>
                <w:w w:val="79"/>
              </w:rPr>
              <w:t>98</w:t>
            </w:r>
          </w:p>
        </w:tc>
        <w:tc>
          <w:tcPr>
            <w:tcW w:w="1540" w:type="dxa"/>
            <w:vAlign w:val="bottom"/>
          </w:tcPr>
          <w:p>
            <w:pPr>
              <w:jc w:val="right"/>
              <w:ind w:right="590"/>
              <w:spacing w:after="0"/>
              <w:rPr>
                <w:sz w:val="20"/>
                <w:szCs w:val="20"/>
                <w:color w:val="auto"/>
              </w:rPr>
            </w:pPr>
            <w:r>
              <w:rPr>
                <w:rFonts w:ascii="Arial" w:cs="Arial" w:eastAsia="Arial" w:hAnsi="Arial"/>
                <w:sz w:val="18"/>
                <w:szCs w:val="18"/>
                <w:color w:val="auto"/>
              </w:rPr>
              <w:t>95</w:t>
            </w: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309" w:lineRule="exact"/>
        <w:rPr>
          <w:sz w:val="20"/>
          <w:szCs w:val="20"/>
          <w:color w:val="auto"/>
        </w:rPr>
      </w:pPr>
    </w:p>
    <w:p>
      <w:pPr>
        <w:sectPr>
          <w:pgSz w:w="11900" w:h="16838" w:orient="portrait"/>
          <w:cols w:equalWidth="0" w:num="2">
            <w:col w:w="7160" w:space="720"/>
            <w:col w:w="3320"/>
          </w:cols>
          <w:pgMar w:left="340" w:top="891" w:right="359" w:bottom="1440" w:gutter="0" w:footer="0" w:header="0"/>
          <w:type w:val="continuous"/>
        </w:sectPr>
      </w:pPr>
    </w:p>
    <w:p>
      <w:pPr>
        <w:jc w:val="center"/>
        <w:ind w:right="-3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type w:val="continuous"/>
        </w:sectPr>
      </w:pPr>
    </w:p>
    <w:bookmarkStart w:id="85" w:name="page86"/>
    <w:bookmarkEnd w:id="85"/>
    <w:p>
      <w:pPr>
        <w:jc w:val="center"/>
        <w:spacing w:after="0" w:line="266" w:lineRule="auto"/>
        <w:rPr>
          <w:sz w:val="20"/>
          <w:szCs w:val="20"/>
          <w:color w:val="auto"/>
        </w:rPr>
      </w:pPr>
      <w:r>
        <w:rPr>
          <w:rFonts w:ascii="Arial" w:cs="Arial" w:eastAsia="Arial" w:hAnsi="Arial"/>
          <w:sz w:val="18"/>
          <w:szCs w:val="18"/>
          <w:b w:val="1"/>
          <w:bCs w:val="1"/>
          <w:color w:val="auto"/>
        </w:rPr>
        <w:t>SCIENTIFIC GAMES CORPORATION AND SUBSIDIARIES CONSOLIDATED STATEMENTS OF COMPREHENSIVE INCOME (LOSS)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6"/>
                <w:szCs w:val="16"/>
                <w:b w:val="1"/>
                <w:bCs w:val="1"/>
                <w:color w:val="auto"/>
                <w:w w:val="96"/>
              </w:rPr>
              <w:t>Years Ended December 31,</w:t>
            </w:r>
          </w:p>
        </w:tc>
        <w:tc>
          <w:tcPr>
            <w:tcW w:w="840" w:type="dxa"/>
            <w:vAlign w:val="bottom"/>
            <w:tcBorders>
              <w:bottom w:val="single" w:sz="8" w:color="auto"/>
            </w:tcBorders>
          </w:tcPr>
          <w:p>
            <w:pPr>
              <w:spacing w:after="0"/>
              <w:rPr>
                <w:sz w:val="18"/>
                <w:szCs w:val="18"/>
                <w:color w:val="auto"/>
              </w:rPr>
            </w:pPr>
          </w:p>
        </w:tc>
      </w:tr>
      <w:tr>
        <w:trPr>
          <w:trHeight w:val="210"/>
        </w:trPr>
        <w:tc>
          <w:tcPr>
            <w:tcW w:w="74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2019</w:t>
            </w:r>
          </w:p>
        </w:tc>
      </w:tr>
      <w:tr>
        <w:trPr>
          <w:trHeight w:val="22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(loss) gain, net of tax</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Derivative financial instruments unrealized gain (loss), net of tax</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income from continuing operations</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comprehensive (loss) income from discontinued operations</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comprehensive income (loss)</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7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SGC</w:t>
            </w: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SCIENTIFIC GAMES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w w:val="98"/>
              </w:rPr>
              <w:t>As of December 31,</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7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3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Receivables, net of allowance for credit losses of $52 and $76, respectively</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deposits and other current assets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Assets of businesses held for sale</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Receivables, net of allowance for credit losses of $2 and $5, respectively</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Software, net</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Assets of businesses held for sale</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300" w:type="dxa"/>
            <w:vAlign w:val="bottom"/>
            <w:tcBorders>
              <w:bottom w:val="single" w:sz="8" w:color="auto"/>
            </w:tcBorders>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000" w:type="dxa"/>
            <w:vAlign w:val="bottom"/>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3620"/>
              <w:spacing w:after="0"/>
              <w:rPr>
                <w:sz w:val="20"/>
                <w:szCs w:val="20"/>
                <w:color w:val="auto"/>
              </w:rPr>
            </w:pPr>
            <w:r>
              <w:rPr>
                <w:rFonts w:ascii="Arial" w:cs="Arial" w:eastAsia="Arial" w:hAnsi="Arial"/>
                <w:sz w:val="18"/>
                <w:szCs w:val="18"/>
                <w:b w:val="1"/>
                <w:bCs w:val="1"/>
                <w:color w:val="auto"/>
              </w:rPr>
              <w:t>LIABILITIES AND STOCKHOLDERS’ DEFICIT</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3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Liabilities of businesses held for sale</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excluding current portion</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Liabilities of businesses held for sale</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Commitments and contingencies (Note 20)</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000" w:type="dxa"/>
            <w:vAlign w:val="bottom"/>
          </w:tcPr>
          <w:p>
            <w:pPr>
              <w:ind w:left="180"/>
              <w:spacing w:after="0" w:line="176" w:lineRule="exact"/>
              <w:rPr>
                <w:sz w:val="20"/>
                <w:szCs w:val="20"/>
                <w:color w:val="auto"/>
              </w:rPr>
            </w:pPr>
            <w:r>
              <w:rPr>
                <w:rFonts w:ascii="Arial" w:cs="Arial" w:eastAsia="Arial" w:hAnsi="Arial"/>
                <w:sz w:val="18"/>
                <w:szCs w:val="18"/>
                <w:color w:val="auto"/>
                <w:w w:val="89"/>
              </w:rPr>
              <w:t>Common stock, par value $0.001 per share: 199 shares authorized; 114 and 113 shares issued</w:t>
            </w:r>
          </w:p>
        </w:tc>
        <w:tc>
          <w:tcPr>
            <w:tcW w:w="13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000" w:type="dxa"/>
            <w:vAlign w:val="bottom"/>
          </w:tcPr>
          <w:p>
            <w:pPr>
              <w:ind w:left="180"/>
              <w:spacing w:after="0"/>
              <w:rPr>
                <w:sz w:val="20"/>
                <w:szCs w:val="20"/>
                <w:color w:val="auto"/>
              </w:rPr>
            </w:pPr>
            <w:r>
              <w:rPr>
                <w:rFonts w:ascii="Arial" w:cs="Arial" w:eastAsia="Arial" w:hAnsi="Arial"/>
                <w:sz w:val="18"/>
                <w:szCs w:val="18"/>
                <w:color w:val="auto"/>
              </w:rPr>
              <w:t>and 97 and 95 shares outstanding, respectively</w:t>
            </w:r>
          </w:p>
        </w:tc>
        <w:tc>
          <w:tcPr>
            <w:tcW w:w="13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Accumulated loss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- 17 shares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SGC stockholders’ deficit</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deficit</w:t>
            </w:r>
          </w:p>
        </w:tc>
        <w:tc>
          <w:tcPr>
            <w:tcW w:w="1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23"/>
        </w:trPr>
        <w:tc>
          <w:tcPr>
            <w:tcW w:w="7000" w:type="dxa"/>
            <w:vAlign w:val="bottom"/>
          </w:tcPr>
          <w:p>
            <w:pPr>
              <w:ind w:left="340"/>
              <w:spacing w:after="0"/>
              <w:rPr>
                <w:sz w:val="20"/>
                <w:szCs w:val="20"/>
                <w:color w:val="auto"/>
              </w:rPr>
            </w:pPr>
            <w:r>
              <w:rPr>
                <w:rFonts w:ascii="Arial" w:cs="Arial" w:eastAsia="Arial" w:hAnsi="Arial"/>
                <w:sz w:val="18"/>
                <w:szCs w:val="18"/>
                <w:color w:val="auto"/>
              </w:rPr>
              <w:t>Total liabilities and stockholders’ deficit</w:t>
            </w:r>
          </w:p>
        </w:tc>
        <w:tc>
          <w:tcPr>
            <w:tcW w:w="1300" w:type="dxa"/>
            <w:vAlign w:val="bottom"/>
            <w:tcBorders>
              <w:bottom w:val="single" w:sz="8" w:color="auto"/>
            </w:tcBorders>
          </w:tcPr>
          <w:p>
            <w:pPr>
              <w:jc w:val="right"/>
              <w:ind w:right="11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7,883</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86" w:right="359" w:bottom="1440" w:gutter="0" w:footer="0" w:header="0"/>
        </w:sectPr>
      </w:pPr>
    </w:p>
    <w:bookmarkStart w:id="87" w:name="page88"/>
    <w:bookmarkEnd w:id="87"/>
    <w:p>
      <w:pPr>
        <w:jc w:val="center"/>
        <w:ind w:right="20"/>
        <w:spacing w:after="0"/>
        <w:rPr>
          <w:sz w:val="20"/>
          <w:szCs w:val="20"/>
          <w:color w:val="auto"/>
        </w:rPr>
      </w:pPr>
      <w:r>
        <w:rPr>
          <w:rFonts w:ascii="Arial" w:cs="Arial" w:eastAsia="Arial" w:hAnsi="Arial"/>
          <w:sz w:val="18"/>
          <w:szCs w:val="18"/>
          <w:b w:val="1"/>
          <w:bCs w:val="1"/>
          <w:color w:val="auto"/>
        </w:rPr>
        <w:t>SCIENTIFIC GAMES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120" w:type="dxa"/>
            <w:vAlign w:val="bottom"/>
          </w:tcPr>
          <w:p>
            <w:pPr>
              <w:spacing w:after="0"/>
              <w:rPr>
                <w:sz w:val="16"/>
                <w:szCs w:val="16"/>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6"/>
                <w:szCs w:val="16"/>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Accumulated Other</w:t>
            </w:r>
          </w:p>
        </w:tc>
        <w:tc>
          <w:tcPr>
            <w:tcW w:w="120" w:type="dxa"/>
            <w:vAlign w:val="bottom"/>
          </w:tcPr>
          <w:p>
            <w:pPr>
              <w:spacing w:after="0"/>
              <w:rPr>
                <w:sz w:val="16"/>
                <w:szCs w:val="16"/>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Noncontrolling</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Paid in</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Loss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0"/>
              </w:rPr>
              <w:t>Loss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Interest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w w:val="96"/>
              </w:rPr>
              <w:t>(175)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(2,463)</w:t>
            </w:r>
          </w:p>
        </w:tc>
        <w:tc>
          <w:tcPr>
            <w:tcW w:w="0" w:type="dxa"/>
            <w:vAlign w:val="bottom"/>
          </w:tcPr>
          <w:p>
            <w:pPr>
              <w:spacing w:after="0"/>
              <w:rPr>
                <w:sz w:val="1"/>
                <w:szCs w:val="1"/>
                <w:color w:val="auto"/>
              </w:rPr>
            </w:pPr>
          </w:p>
        </w:tc>
      </w:tr>
      <w:tr>
        <w:trPr>
          <w:trHeight w:val="146"/>
        </w:trPr>
        <w:tc>
          <w:tcPr>
            <w:tcW w:w="2460" w:type="dxa"/>
            <w:vAlign w:val="bottom"/>
          </w:tcPr>
          <w:p>
            <w:pPr>
              <w:ind w:left="140"/>
              <w:spacing w:after="0" w:line="146" w:lineRule="exact"/>
              <w:rPr>
                <w:sz w:val="20"/>
                <w:szCs w:val="20"/>
                <w:color w:val="auto"/>
              </w:rPr>
            </w:pPr>
            <w:r>
              <w:rPr>
                <w:rFonts w:ascii="Arial" w:cs="Arial" w:eastAsia="Arial" w:hAnsi="Arial"/>
                <w:sz w:val="16"/>
                <w:szCs w:val="16"/>
                <w:color w:val="auto"/>
                <w:w w:val="97"/>
              </w:rPr>
              <w:t>Net issuance of common stock in</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90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line="162" w:lineRule="exact"/>
              <w:rPr>
                <w:sz w:val="20"/>
                <w:szCs w:val="20"/>
                <w:color w:val="auto"/>
              </w:rPr>
            </w:pPr>
            <w:r>
              <w:rPr>
                <w:rFonts w:ascii="Arial" w:cs="Arial" w:eastAsia="Arial" w:hAnsi="Arial"/>
                <w:sz w:val="16"/>
                <w:szCs w:val="16"/>
                <w:color w:val="auto"/>
                <w:w w:val="96"/>
              </w:rPr>
              <w:t>connection with stock options and</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60" w:type="dxa"/>
            <w:vAlign w:val="bottom"/>
          </w:tcPr>
          <w:p>
            <w:pPr>
              <w:ind w:left="140"/>
              <w:spacing w:after="0"/>
              <w:rPr>
                <w:sz w:val="20"/>
                <w:szCs w:val="20"/>
                <w:color w:val="auto"/>
              </w:rPr>
            </w:pPr>
            <w:r>
              <w:rPr>
                <w:rFonts w:ascii="Arial" w:cs="Arial" w:eastAsia="Arial" w:hAnsi="Arial"/>
                <w:sz w:val="16"/>
                <w:szCs w:val="16"/>
                <w:color w:val="auto"/>
              </w:rPr>
              <w:t>RSUs and other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Sale of SciPlay common stock and</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125"/>
        </w:trPr>
        <w:tc>
          <w:tcPr>
            <w:tcW w:w="24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related transactions</w:t>
            </w:r>
          </w:p>
        </w:tc>
        <w:tc>
          <w:tcPr>
            <w:tcW w:w="14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46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2"/>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w w:val="96"/>
              </w:rPr>
              <w:t>(175)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146"/>
        </w:trPr>
        <w:tc>
          <w:tcPr>
            <w:tcW w:w="2460" w:type="dxa"/>
            <w:vAlign w:val="bottom"/>
          </w:tcPr>
          <w:p>
            <w:pPr>
              <w:ind w:left="140"/>
              <w:spacing w:after="0" w:line="146" w:lineRule="exact"/>
              <w:rPr>
                <w:sz w:val="20"/>
                <w:szCs w:val="20"/>
                <w:color w:val="auto"/>
              </w:rPr>
            </w:pPr>
            <w:r>
              <w:rPr>
                <w:rFonts w:ascii="Arial" w:cs="Arial" w:eastAsia="Arial" w:hAnsi="Arial"/>
                <w:sz w:val="16"/>
                <w:szCs w:val="16"/>
                <w:color w:val="auto"/>
              </w:rPr>
              <w:t>Net proceeds in connection with</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90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line="162" w:lineRule="exact"/>
              <w:rPr>
                <w:sz w:val="20"/>
                <w:szCs w:val="20"/>
                <w:color w:val="auto"/>
              </w:rPr>
            </w:pPr>
            <w:r>
              <w:rPr>
                <w:rFonts w:ascii="Arial" w:cs="Arial" w:eastAsia="Arial" w:hAnsi="Arial"/>
                <w:sz w:val="16"/>
                <w:szCs w:val="16"/>
                <w:color w:val="auto"/>
              </w:rPr>
              <w:t>settlement of stock options and</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60" w:type="dxa"/>
            <w:vAlign w:val="bottom"/>
          </w:tcPr>
          <w:p>
            <w:pPr>
              <w:ind w:left="140"/>
              <w:spacing w:after="0"/>
              <w:rPr>
                <w:sz w:val="20"/>
                <w:szCs w:val="20"/>
                <w:color w:val="auto"/>
              </w:rPr>
            </w:pPr>
            <w:r>
              <w:rPr>
                <w:rFonts w:ascii="Arial" w:cs="Arial" w:eastAsia="Arial" w:hAnsi="Arial"/>
                <w:sz w:val="16"/>
                <w:szCs w:val="16"/>
                <w:color w:val="auto"/>
              </w:rPr>
              <w:t>RSUs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Arial" w:cs="Arial" w:eastAsia="Arial" w:hAnsi="Arial"/>
                <w:sz w:val="16"/>
                <w:szCs w:val="16"/>
                <w:color w:val="auto"/>
              </w:rPr>
              <w:t>Impact of ASC 326 adoption</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w w:val="96"/>
              </w:rPr>
              <w:t>(175)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(2,524)</w:t>
            </w:r>
          </w:p>
        </w:tc>
        <w:tc>
          <w:tcPr>
            <w:tcW w:w="0" w:type="dxa"/>
            <w:vAlign w:val="bottom"/>
          </w:tcPr>
          <w:p>
            <w:pPr>
              <w:spacing w:after="0"/>
              <w:rPr>
                <w:sz w:val="1"/>
                <w:szCs w:val="1"/>
                <w:color w:val="auto"/>
              </w:rPr>
            </w:pPr>
          </w:p>
        </w:tc>
      </w:tr>
      <w:tr>
        <w:trPr>
          <w:trHeight w:val="146"/>
        </w:trPr>
        <w:tc>
          <w:tcPr>
            <w:tcW w:w="2460" w:type="dxa"/>
            <w:vAlign w:val="bottom"/>
          </w:tcPr>
          <w:p>
            <w:pPr>
              <w:ind w:left="140"/>
              <w:spacing w:after="0" w:line="146" w:lineRule="exact"/>
              <w:rPr>
                <w:sz w:val="20"/>
                <w:szCs w:val="20"/>
                <w:color w:val="auto"/>
              </w:rPr>
            </w:pPr>
            <w:r>
              <w:rPr>
                <w:rFonts w:ascii="Arial" w:cs="Arial" w:eastAsia="Arial" w:hAnsi="Arial"/>
                <w:sz w:val="16"/>
                <w:szCs w:val="16"/>
                <w:color w:val="auto"/>
              </w:rPr>
              <w:t>Vesting of RSUs, net of tax</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90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25"/>
        </w:trPr>
        <w:tc>
          <w:tcPr>
            <w:tcW w:w="2460" w:type="dxa"/>
            <w:vAlign w:val="bottom"/>
            <w:vMerge w:val="restart"/>
          </w:tcPr>
          <w:p>
            <w:pPr>
              <w:ind w:left="140"/>
              <w:spacing w:after="0"/>
              <w:rPr>
                <w:sz w:val="20"/>
                <w:szCs w:val="20"/>
                <w:color w:val="auto"/>
              </w:rPr>
            </w:pPr>
            <w:r>
              <w:rPr>
                <w:rFonts w:ascii="Arial" w:cs="Arial" w:eastAsia="Arial" w:hAnsi="Arial"/>
                <w:sz w:val="16"/>
                <w:szCs w:val="16"/>
                <w:color w:val="auto"/>
              </w:rPr>
              <w:t>withholdings and other</w:t>
            </w: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6"/>
                <w:szCs w:val="16"/>
                <w:color w:val="auto"/>
                <w:w w:val="96"/>
              </w:rPr>
              <w:t>(175)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18"/>
          <w:szCs w:val="18"/>
          <w:b w:val="1"/>
          <w:bCs w:val="1"/>
          <w:color w:val="auto"/>
        </w:rPr>
        <w:t>SCIENTIFIC GAMES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r>
      <w:tr>
        <w:trPr>
          <w:trHeight w:val="189"/>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756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192"/>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Income from discontinued operations, net of tax</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135"/>
        </w:trPr>
        <w:tc>
          <w:tcPr>
            <w:tcW w:w="7560" w:type="dxa"/>
            <w:vAlign w:val="bottom"/>
          </w:tcPr>
          <w:p>
            <w:pPr>
              <w:ind w:left="140"/>
              <w:spacing w:after="0" w:line="135" w:lineRule="exact"/>
              <w:rPr>
                <w:sz w:val="20"/>
                <w:szCs w:val="20"/>
                <w:color w:val="auto"/>
              </w:rPr>
            </w:pPr>
            <w:r>
              <w:rPr>
                <w:rFonts w:ascii="Arial" w:cs="Arial" w:eastAsia="Arial" w:hAnsi="Arial"/>
                <w:sz w:val="14"/>
                <w:szCs w:val="14"/>
                <w:color w:val="auto"/>
              </w:rPr>
              <w:t>Adjustments to reconcile net income (loss) from continuing operations to net cash provided by operating activities from</w:t>
            </w: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86"/>
        </w:trPr>
        <w:tc>
          <w:tcPr>
            <w:tcW w:w="756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7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Depreciation, amortization and impairments</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542</w:t>
            </w:r>
          </w:p>
        </w:tc>
      </w:tr>
      <w:tr>
        <w:trPr>
          <w:trHeight w:val="186"/>
        </w:trPr>
        <w:tc>
          <w:tcPr>
            <w:tcW w:w="7560" w:type="dxa"/>
            <w:vAlign w:val="bottom"/>
          </w:tcPr>
          <w:p>
            <w:pPr>
              <w:ind w:left="340"/>
              <w:spacing w:after="0"/>
              <w:rPr>
                <w:sz w:val="20"/>
                <w:szCs w:val="20"/>
                <w:color w:val="auto"/>
              </w:rPr>
            </w:pPr>
            <w:r>
              <w:rPr>
                <w:rFonts w:ascii="Arial" w:cs="Arial" w:eastAsia="Arial" w:hAnsi="Arial"/>
                <w:sz w:val="14"/>
                <w:szCs w:val="14"/>
                <w:color w:val="auto"/>
              </w:rPr>
              <w:t>Goodwill impairment</w:t>
            </w:r>
          </w:p>
        </w:tc>
        <w:tc>
          <w:tcPr>
            <w:tcW w:w="72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7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deferred income taxes</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86"/>
        </w:trPr>
        <w:tc>
          <w:tcPr>
            <w:tcW w:w="756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32</w:t>
            </w:r>
          </w:p>
        </w:tc>
      </w:tr>
      <w:tr>
        <w:trPr>
          <w:trHeight w:val="192"/>
        </w:trPr>
        <w:tc>
          <w:tcPr>
            <w:tcW w:w="7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Non-cash interest expense</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r>
      <w:tr>
        <w:trPr>
          <w:trHeight w:val="186"/>
        </w:trPr>
        <w:tc>
          <w:tcPr>
            <w:tcW w:w="7560" w:type="dxa"/>
            <w:vAlign w:val="bottom"/>
          </w:tcPr>
          <w:p>
            <w:pPr>
              <w:ind w:left="340"/>
              <w:spacing w:after="0"/>
              <w:rPr>
                <w:sz w:val="20"/>
                <w:szCs w:val="20"/>
                <w:color w:val="auto"/>
              </w:rPr>
            </w:pPr>
            <w:r>
              <w:rPr>
                <w:rFonts w:ascii="Arial" w:cs="Arial" w:eastAsia="Arial" w:hAnsi="Arial"/>
                <w:sz w:val="14"/>
                <w:szCs w:val="14"/>
                <w:color w:val="auto"/>
              </w:rPr>
              <w:t>Provision for bad debts and inventory charges</w:t>
            </w:r>
          </w:p>
        </w:tc>
        <w:tc>
          <w:tcPr>
            <w:tcW w:w="7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w:t>
            </w:r>
          </w:p>
        </w:tc>
      </w:tr>
      <w:tr>
        <w:trPr>
          <w:trHeight w:val="192"/>
        </w:trPr>
        <w:tc>
          <w:tcPr>
            <w:tcW w:w="7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(Gain) loss on sale of assets and other, net</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r>
      <w:tr>
        <w:trPr>
          <w:trHeight w:val="186"/>
        </w:trPr>
        <w:tc>
          <w:tcPr>
            <w:tcW w:w="7560" w:type="dxa"/>
            <w:vAlign w:val="bottom"/>
          </w:tcPr>
          <w:p>
            <w:pPr>
              <w:ind w:left="340"/>
              <w:spacing w:after="0"/>
              <w:rPr>
                <w:sz w:val="20"/>
                <w:szCs w:val="20"/>
                <w:color w:val="auto"/>
              </w:rPr>
            </w:pPr>
            <w:r>
              <w:rPr>
                <w:rFonts w:ascii="Arial" w:cs="Arial" w:eastAsia="Arial" w:hAnsi="Arial"/>
                <w:sz w:val="14"/>
                <w:szCs w:val="14"/>
                <w:color w:val="auto"/>
              </w:rPr>
              <w:t>Loss on debt financing transactions</w:t>
            </w:r>
          </w:p>
        </w:tc>
        <w:tc>
          <w:tcPr>
            <w:tcW w:w="72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w:t>
            </w:r>
          </w:p>
        </w:tc>
      </w:tr>
      <w:tr>
        <w:trPr>
          <w:trHeight w:val="192"/>
        </w:trPr>
        <w:tc>
          <w:tcPr>
            <w:tcW w:w="7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(Gain) loss on remeasurement of debt</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6"/>
        </w:trPr>
        <w:tc>
          <w:tcPr>
            <w:tcW w:w="7560" w:type="dxa"/>
            <w:vAlign w:val="bottom"/>
          </w:tcPr>
          <w:p>
            <w:pPr>
              <w:ind w:left="340"/>
              <w:spacing w:after="0"/>
              <w:rPr>
                <w:sz w:val="20"/>
                <w:szCs w:val="20"/>
                <w:color w:val="auto"/>
              </w:rPr>
            </w:pPr>
            <w:r>
              <w:rPr>
                <w:rFonts w:ascii="Arial" w:cs="Arial" w:eastAsia="Arial" w:hAnsi="Arial"/>
                <w:sz w:val="14"/>
                <w:szCs w:val="14"/>
                <w:color w:val="auto"/>
              </w:rPr>
              <w:t>Changes in assets and liabilities, net of effects of acquisitions:</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75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Receivables</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86"/>
        </w:trPr>
        <w:tc>
          <w:tcPr>
            <w:tcW w:w="756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7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92"/>
        </w:trPr>
        <w:tc>
          <w:tcPr>
            <w:tcW w:w="75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assets and liabilities</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6"/>
        </w:trPr>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Accounts payable and accrued liabilities</w:t>
            </w: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186"/>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 from continuing operations</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w:t>
            </w:r>
          </w:p>
        </w:tc>
      </w:tr>
      <w:tr>
        <w:trPr>
          <w:trHeight w:val="186"/>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337</w:t>
            </w:r>
          </w:p>
        </w:tc>
      </w:tr>
      <w:tr>
        <w:trPr>
          <w:trHeight w:val="186"/>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546</w:t>
            </w:r>
          </w:p>
        </w:tc>
      </w:tr>
      <w:tr>
        <w:trPr>
          <w:trHeight w:val="186"/>
        </w:trPr>
        <w:tc>
          <w:tcPr>
            <w:tcW w:w="756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expenditures</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186"/>
        </w:trPr>
        <w:tc>
          <w:tcPr>
            <w:tcW w:w="7560" w:type="dxa"/>
            <w:vAlign w:val="bottom"/>
          </w:tcPr>
          <w:p>
            <w:pPr>
              <w:ind w:left="140"/>
              <w:spacing w:after="0"/>
              <w:rPr>
                <w:sz w:val="20"/>
                <w:szCs w:val="20"/>
                <w:color w:val="auto"/>
              </w:rPr>
            </w:pPr>
            <w:r>
              <w:rPr>
                <w:rFonts w:ascii="Arial" w:cs="Arial" w:eastAsia="Arial" w:hAnsi="Arial"/>
                <w:sz w:val="14"/>
                <w:szCs w:val="14"/>
                <w:color w:val="auto"/>
              </w:rPr>
              <w:t>Acquisitions of businesses and assets, net of cash acquired</w:t>
            </w:r>
          </w:p>
        </w:tc>
        <w:tc>
          <w:tcPr>
            <w:tcW w:w="7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of capital from equity investments</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186"/>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Proceeds from asset sales and other</w:t>
            </w: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86"/>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 from continuing operations</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186"/>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investing activities from discontinued operations</w:t>
            </w: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r>
      <w:tr>
        <w:trPr>
          <w:trHeight w:val="186"/>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r>
      <w:tr>
        <w:trPr>
          <w:trHeight w:val="186"/>
        </w:trPr>
        <w:tc>
          <w:tcPr>
            <w:tcW w:w="75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Borrowings under SGI revolving credit facility</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w:t>
            </w:r>
          </w:p>
        </w:tc>
      </w:tr>
      <w:tr>
        <w:trPr>
          <w:trHeight w:val="186"/>
        </w:trPr>
        <w:tc>
          <w:tcPr>
            <w:tcW w:w="7560" w:type="dxa"/>
            <w:vAlign w:val="bottom"/>
          </w:tcPr>
          <w:p>
            <w:pPr>
              <w:ind w:left="140"/>
              <w:spacing w:after="0"/>
              <w:rPr>
                <w:sz w:val="20"/>
                <w:szCs w:val="20"/>
                <w:color w:val="auto"/>
              </w:rPr>
            </w:pPr>
            <w:r>
              <w:rPr>
                <w:rFonts w:ascii="Arial" w:cs="Arial" w:eastAsia="Arial" w:hAnsi="Arial"/>
                <w:sz w:val="14"/>
                <w:szCs w:val="14"/>
                <w:color w:val="auto"/>
              </w:rPr>
              <w:t>Repayments under SGI revolving credit facility</w:t>
            </w:r>
          </w:p>
        </w:tc>
        <w:tc>
          <w:tcPr>
            <w:tcW w:w="7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192"/>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notes and term loans</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2,300</w:t>
            </w:r>
          </w:p>
        </w:tc>
      </w:tr>
      <w:tr>
        <w:trPr>
          <w:trHeight w:val="186"/>
        </w:trPr>
        <w:tc>
          <w:tcPr>
            <w:tcW w:w="7560" w:type="dxa"/>
            <w:vAlign w:val="bottom"/>
          </w:tcPr>
          <w:p>
            <w:pPr>
              <w:ind w:left="140"/>
              <w:spacing w:after="0"/>
              <w:rPr>
                <w:sz w:val="20"/>
                <w:szCs w:val="20"/>
                <w:color w:val="auto"/>
              </w:rPr>
            </w:pPr>
            <w:r>
              <w:rPr>
                <w:rFonts w:ascii="Arial" w:cs="Arial" w:eastAsia="Arial" w:hAnsi="Arial"/>
                <w:sz w:val="14"/>
                <w:szCs w:val="14"/>
                <w:color w:val="auto"/>
              </w:rPr>
              <w:t>Payments on long-term debt</w:t>
            </w:r>
          </w:p>
        </w:tc>
        <w:tc>
          <w:tcPr>
            <w:tcW w:w="7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92"/>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of notes and term loans (including redemption premium)</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w:t>
            </w:r>
          </w:p>
        </w:tc>
      </w:tr>
      <w:tr>
        <w:trPr>
          <w:trHeight w:val="186"/>
        </w:trPr>
        <w:tc>
          <w:tcPr>
            <w:tcW w:w="7560" w:type="dxa"/>
            <w:vAlign w:val="bottom"/>
          </w:tcPr>
          <w:p>
            <w:pPr>
              <w:ind w:left="140"/>
              <w:spacing w:after="0"/>
              <w:rPr>
                <w:sz w:val="20"/>
                <w:szCs w:val="20"/>
                <w:color w:val="auto"/>
              </w:rPr>
            </w:pPr>
            <w:r>
              <w:rPr>
                <w:rFonts w:ascii="Arial" w:cs="Arial" w:eastAsia="Arial" w:hAnsi="Arial"/>
                <w:sz w:val="14"/>
                <w:szCs w:val="14"/>
                <w:color w:val="auto"/>
              </w:rPr>
              <w:t>Payments of debt issuance and deferred financing costs</w:t>
            </w:r>
          </w:p>
        </w:tc>
        <w:tc>
          <w:tcPr>
            <w:tcW w:w="7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2"/>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license obligations</w:t>
            </w: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86"/>
        </w:trPr>
        <w:tc>
          <w:tcPr>
            <w:tcW w:w="7560" w:type="dxa"/>
            <w:vAlign w:val="bottom"/>
          </w:tcPr>
          <w:p>
            <w:pPr>
              <w:ind w:left="140"/>
              <w:spacing w:after="0"/>
              <w:rPr>
                <w:sz w:val="20"/>
                <w:szCs w:val="20"/>
                <w:color w:val="auto"/>
              </w:rPr>
            </w:pPr>
            <w:r>
              <w:rPr>
                <w:rFonts w:ascii="Arial" w:cs="Arial" w:eastAsia="Arial" w:hAnsi="Arial"/>
                <w:sz w:val="14"/>
                <w:szCs w:val="14"/>
                <w:color w:val="auto"/>
              </w:rPr>
              <w:t>Sale of future revenue</w:t>
            </w:r>
          </w:p>
        </w:tc>
        <w:tc>
          <w:tcPr>
            <w:tcW w:w="72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w:t>
            </w:r>
          </w:p>
        </w:tc>
      </w:tr>
      <w:tr>
        <w:trPr>
          <w:trHeight w:val="192"/>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proceeds from the sale of SciPlay’s common stock</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342</w:t>
            </w:r>
          </w:p>
        </w:tc>
      </w:tr>
      <w:tr>
        <w:trPr>
          <w:trHeight w:val="186"/>
        </w:trPr>
        <w:tc>
          <w:tcPr>
            <w:tcW w:w="7560" w:type="dxa"/>
            <w:vAlign w:val="bottom"/>
          </w:tcPr>
          <w:p>
            <w:pPr>
              <w:ind w:left="140"/>
              <w:spacing w:after="0"/>
              <w:rPr>
                <w:sz w:val="20"/>
                <w:szCs w:val="20"/>
                <w:color w:val="auto"/>
              </w:rPr>
            </w:pPr>
            <w:r>
              <w:rPr>
                <w:rFonts w:ascii="Arial" w:cs="Arial" w:eastAsia="Arial" w:hAnsi="Arial"/>
                <w:sz w:val="14"/>
                <w:szCs w:val="14"/>
                <w:color w:val="auto"/>
              </w:rPr>
              <w:t>Payments of deferred SciPlay common stock offering costs</w:t>
            </w:r>
          </w:p>
        </w:tc>
        <w:tc>
          <w:tcPr>
            <w:tcW w:w="72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2"/>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redemptions of common stock under stock-based compensation plans and other</w:t>
            </w:r>
          </w:p>
        </w:tc>
        <w:tc>
          <w:tcPr>
            <w:tcW w:w="7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79"/>
        </w:trPr>
        <w:tc>
          <w:tcPr>
            <w:tcW w:w="7560" w:type="dxa"/>
            <w:vAlign w:val="bottom"/>
          </w:tcPr>
          <w:p>
            <w:pPr>
              <w:ind w:left="20"/>
              <w:spacing w:after="0"/>
              <w:rPr>
                <w:sz w:val="20"/>
                <w:szCs w:val="20"/>
                <w:color w:val="auto"/>
              </w:rPr>
            </w:pPr>
            <w:r>
              <w:rPr>
                <w:rFonts w:ascii="Arial" w:cs="Arial" w:eastAsia="Arial" w:hAnsi="Arial"/>
                <w:sz w:val="14"/>
                <w:szCs w:val="14"/>
                <w:color w:val="auto"/>
              </w:rPr>
              <w:t>Net cash (used in) provided by financing activities from continuing operations</w:t>
            </w: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192"/>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 from discontinued operations</w:t>
            </w:r>
          </w:p>
        </w:tc>
        <w:tc>
          <w:tcPr>
            <w:tcW w:w="7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79"/>
        </w:trPr>
        <w:tc>
          <w:tcPr>
            <w:tcW w:w="7560" w:type="dxa"/>
            <w:vAlign w:val="bottom"/>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192"/>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7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79"/>
        </w:trPr>
        <w:tc>
          <w:tcPr>
            <w:tcW w:w="7560" w:type="dxa"/>
            <w:vAlign w:val="bottom"/>
          </w:tcPr>
          <w:p>
            <w:pPr>
              <w:ind w:left="20"/>
              <w:spacing w:after="0"/>
              <w:rPr>
                <w:sz w:val="20"/>
                <w:szCs w:val="20"/>
                <w:color w:val="auto"/>
              </w:rPr>
            </w:pPr>
            <w:r>
              <w:rPr>
                <w:rFonts w:ascii="Arial" w:cs="Arial" w:eastAsia="Arial" w:hAnsi="Arial"/>
                <w:sz w:val="14"/>
                <w:szCs w:val="14"/>
                <w:color w:val="auto"/>
              </w:rPr>
              <w:t>(Decrease) increase in cash, cash equivalents and restricted cash</w:t>
            </w: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155</w:t>
            </w:r>
          </w:p>
        </w:tc>
      </w:tr>
      <w:tr>
        <w:trPr>
          <w:trHeight w:val="192"/>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7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1,143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220</w:t>
            </w:r>
          </w:p>
        </w:tc>
      </w:tr>
      <w:tr>
        <w:trPr>
          <w:trHeight w:val="179"/>
        </w:trPr>
        <w:tc>
          <w:tcPr>
            <w:tcW w:w="75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701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1,143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375</w:t>
            </w:r>
          </w:p>
        </w:tc>
      </w:tr>
      <w:tr>
        <w:trPr>
          <w:trHeight w:val="189"/>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Cash, cash equivalents and restricted cash of discontinued operations</w:t>
            </w:r>
          </w:p>
        </w:tc>
        <w:tc>
          <w:tcPr>
            <w:tcW w:w="7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r>
      <w:tr>
        <w:trPr>
          <w:trHeight w:val="186"/>
        </w:trPr>
        <w:tc>
          <w:tcPr>
            <w:tcW w:w="75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of continuing operations, end of period</w:t>
            </w:r>
          </w:p>
        </w:tc>
        <w:tc>
          <w:tcPr>
            <w:tcW w:w="7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325</w:t>
            </w:r>
          </w:p>
        </w:tc>
      </w:tr>
      <w:tr>
        <w:trPr>
          <w:trHeight w:val="21"/>
        </w:trPr>
        <w:tc>
          <w:tcPr>
            <w:tcW w:w="7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64" w:right="35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6"/>
                <w:szCs w:val="16"/>
                <w:b w:val="1"/>
                <w:bCs w:val="1"/>
                <w:color w:val="auto"/>
                <w:w w:val="96"/>
              </w:rPr>
              <w:t>Years Ended December 31,</w:t>
            </w:r>
          </w:p>
        </w:tc>
        <w:tc>
          <w:tcPr>
            <w:tcW w:w="840" w:type="dxa"/>
            <w:vAlign w:val="bottom"/>
            <w:tcBorders>
              <w:bottom w:val="single" w:sz="8" w:color="auto"/>
            </w:tcBorders>
          </w:tcPr>
          <w:p>
            <w:pPr>
              <w:spacing w:after="0"/>
              <w:rPr>
                <w:sz w:val="18"/>
                <w:szCs w:val="18"/>
                <w:color w:val="auto"/>
              </w:rPr>
            </w:pPr>
          </w:p>
        </w:tc>
      </w:tr>
      <w:tr>
        <w:trPr>
          <w:trHeight w:val="210"/>
        </w:trPr>
        <w:tc>
          <w:tcPr>
            <w:tcW w:w="75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2019</w:t>
            </w:r>
          </w:p>
        </w:tc>
      </w:tr>
      <w:tr>
        <w:trPr>
          <w:trHeight w:val="212"/>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453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paid</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Cash paid for contingent acquisition considerations included in operating activities</w:t>
            </w:r>
          </w:p>
        </w:tc>
        <w:tc>
          <w:tcPr>
            <w:tcW w:w="80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SCIENTIFIC GAMES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USD, table amounts in millions, except per share amounts)</w:t>
      </w:r>
    </w:p>
    <w:p>
      <w:pPr>
        <w:spacing w:after="0" w:line="355" w:lineRule="exact"/>
        <w:rPr>
          <w:sz w:val="20"/>
          <w:szCs w:val="20"/>
          <w:color w:val="auto"/>
        </w:rPr>
      </w:pPr>
    </w:p>
    <w:p>
      <w:pPr>
        <w:ind w:right="5140"/>
        <w:spacing w:after="0" w:line="417" w:lineRule="auto"/>
        <w:rPr>
          <w:sz w:val="20"/>
          <w:szCs w:val="20"/>
          <w:color w:val="auto"/>
        </w:rPr>
      </w:pPr>
      <w:r>
        <w:rPr>
          <w:rFonts w:ascii="Arial" w:cs="Arial" w:eastAsia="Arial" w:hAnsi="Arial"/>
          <w:sz w:val="18"/>
          <w:szCs w:val="18"/>
          <w:b w:val="1"/>
          <w:bCs w:val="1"/>
          <w:color w:val="auto"/>
        </w:rPr>
        <w:t xml:space="preserve">(1) Description of the Business and Summary of Significant Accounting Policies </w:t>
      </w:r>
      <w:r>
        <w:rPr>
          <w:rFonts w:ascii="Arial" w:cs="Arial" w:eastAsia="Arial" w:hAnsi="Arial"/>
          <w:sz w:val="18"/>
          <w:szCs w:val="18"/>
          <w:i w:val="1"/>
          <w:iCs w:val="1"/>
          <w:color w:val="auto"/>
        </w:rPr>
        <w:t>Description of the Business</w:t>
      </w:r>
    </w:p>
    <w:p>
      <w:pPr>
        <w:ind w:right="60" w:firstLine="648"/>
        <w:spacing w:after="0" w:line="219" w:lineRule="exact"/>
        <w:rPr>
          <w:sz w:val="20"/>
          <w:szCs w:val="20"/>
          <w:color w:val="auto"/>
        </w:rPr>
      </w:pPr>
      <w:r>
        <w:rPr>
          <w:rFonts w:ascii="Arial" w:cs="Arial" w:eastAsia="Arial" w:hAnsi="Arial"/>
          <w:sz w:val="17"/>
          <w:szCs w:val="17"/>
          <w:color w:val="auto"/>
        </w:rPr>
        <w:t>We are a leading developer of technology</w:t>
      </w:r>
      <w:r>
        <w:rPr>
          <w:rFonts w:ascii="MS PGothic" w:cs="MS PGothic" w:eastAsia="MS PGothic" w:hAnsi="MS PGothic"/>
          <w:sz w:val="17"/>
          <w:szCs w:val="17"/>
          <w:color w:val="auto"/>
        </w:rPr>
        <w:t>‑</w:t>
      </w:r>
      <w:r>
        <w:rPr>
          <w:rFonts w:ascii="Arial" w:cs="Arial" w:eastAsia="Arial" w:hAnsi="Arial"/>
          <w:sz w:val="17"/>
          <w:szCs w:val="17"/>
          <w:color w:val="auto"/>
        </w:rPr>
        <w:t>based products and services and associated content for the worldwide gaming, lottery, social and digital gaming industries. Our portfolio of revenue-generating activities in our continuing operations primarily includes supplying game content and gaming machines, CMSs and table game products and services to licensed gaming entities; providing social casino and other mobile games to retail customers; and providing a comprehensive suite of digital RMG, distribution platforms, content, products and services to various gaming entities. Our portfolio of revenue-generating activities in the discontinued operations primarily includes providing instant and draw</w:t>
      </w:r>
      <w:r>
        <w:rPr>
          <w:rFonts w:ascii="MS PGothic" w:cs="MS PGothic" w:eastAsia="MS PGothic" w:hAnsi="MS PGothic"/>
          <w:sz w:val="17"/>
          <w:szCs w:val="17"/>
          <w:color w:val="auto"/>
        </w:rPr>
        <w:t>‑</w:t>
      </w:r>
      <w:r>
        <w:rPr>
          <w:rFonts w:ascii="Arial" w:cs="Arial" w:eastAsia="Arial" w:hAnsi="Arial"/>
          <w:sz w:val="17"/>
          <w:szCs w:val="17"/>
          <w:color w:val="auto"/>
        </w:rPr>
        <w:t>based lottery products, lottery systems and lottery content and services to lottery operators along with providing sports wagering solutions to various gaming entities.</w:t>
      </w:r>
    </w:p>
    <w:p>
      <w:pPr>
        <w:spacing w:after="0" w:line="135"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On September 27, 2021, we entered into a definitive agreement to sell our Sports Betting business to Endeavor in a cash and stock transaction. Under the terms of the agreement, we will receive $1 billion in cash, subject to customary purchase price closing adjustments, and approximately</w:t>
      </w:r>
    </w:p>
    <w:p>
      <w:pPr>
        <w:ind w:right="160"/>
        <w:spacing w:after="0" w:line="252" w:lineRule="auto"/>
        <w:rPr>
          <w:sz w:val="20"/>
          <w:szCs w:val="20"/>
          <w:color w:val="auto"/>
        </w:rPr>
      </w:pPr>
      <w:r>
        <w:rPr>
          <w:rFonts w:ascii="Arial" w:cs="Arial" w:eastAsia="Arial" w:hAnsi="Arial"/>
          <w:sz w:val="18"/>
          <w:szCs w:val="18"/>
          <w:color w:val="auto"/>
        </w:rPr>
        <w:t>7.6 million shares of Endeavor Class A common stock (valued at approximately $200 million as of the purchase agreement date), subject to customary purchase price closing adjustments. On October 27, 2021, we entered into a definitive agreement to sell our Lottery business to Brookfield for total consideration of $6.05 billion consisting of $5.825 billion in cash and an earn-out of up to $225 million based on the achievement of certain EBITDA targets in 2022 and 2023, subject to customary purchase price closing adjustments. The divestiture of the Lottery business is now expected to close by the end of March 2022 while the sale of the Sports Betting business is on track to be completed in the second quarter of 2022, both subject to applicable regulatory approvals and customary conditions. The intended sale of our Sports Betting and Lottery businesses is defined herein as the “Pending Divestitures.”</w:t>
      </w:r>
    </w:p>
    <w:p>
      <w:pPr>
        <w:spacing w:after="0" w:line="1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reflected the financial results of these businesses as discontinued operations in our consolidated statements of operations and reflected the assets and liabilities of these businesses as held for sale in our consolidated balance sheets, for all periods presented. These businesses held for sale are included in our covenant compliance requirements until disposed of and all of their related cash flows are available to the Company without restriction. Refer to Note 2 for further information.</w:t>
      </w:r>
    </w:p>
    <w:p>
      <w:pPr>
        <w:spacing w:after="0" w:line="10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report our results of continuing operations in three business segments—Gaming, SciPlay and iGaming (former Digital business segment excluding Sports Betting)—representing our different products and services. Unless otherwise noted, amounts and disclosures included herein relate to our continuing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5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accompanying consolidated financial statements have been prepared in accordance with U.S. GAAP. The accompanying consolidated financial statements include the accounts of SGC, its wholly owned subsidiaries, and those subsidiaries in which we have a controlling financial interest. Investments in other entities in which we do not have a controlling financial interest but we exert significant influence are accounted for in our consolidated financial statements using the equity method of accounting. All intercompany balances and transactions have been eliminated in consolidation.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5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4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COVID-19 disruptions continue to impact our results of operations and particularly certain aspects of our Gaming business segment operations due to the closures of gaming operation establishments and restricted reopening of a substantial number of gaming operation establishments coupled with global economic uncertainty.</w:t>
      </w:r>
    </w:p>
    <w:p>
      <w:pPr>
        <w:spacing w:after="0" w:line="11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While most gaming establishments reopened globally and have begun to operate at full capacity, there is a continued risk of future COVID-related developments impacting Gaming business segment results. We continue to see fluctuations in infection rates and regulations for various regions along with ongoing domestic and international travel restrictions or warnings, social distancing measures, reduced operating capacity and an overall economic and general uncertainty regarding the magnitude and length of time that these disruptions will continue. These circumstances may change in the future and such changes could be material. We continue to assess the situation jurisdiction by jurisdiction, actively managing our cash flows and continuing to evaluate additional measures that may reduce operating costs and conserve cash to preserve liquidity as we execute on our strategic initiatives.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ind w:right="160" w:firstLine="648"/>
        <w:spacing w:after="0" w:line="342" w:lineRule="auto"/>
        <w:rPr>
          <w:sz w:val="20"/>
          <w:szCs w:val="20"/>
          <w:color w:val="auto"/>
        </w:rPr>
      </w:pPr>
      <w:r>
        <w:rPr>
          <w:rFonts w:ascii="Arial" w:cs="Arial" w:eastAsia="Arial" w:hAnsi="Arial"/>
          <w:sz w:val="16"/>
          <w:szCs w:val="16"/>
          <w:color w:val="auto"/>
        </w:rPr>
        <w:t>As of December 31, 2021, our total available liquidity (excluding our SciPlay business segment, but including cash and cash equivalents totaling $44 million of the businesses held for sale) was $903 million, which included $638 million of undrawn availability under SGI’s revolving credit facility.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SciPlay Initial Public Offering and Noncontrolling Interest</w:t>
      </w:r>
    </w:p>
    <w:p>
      <w:pPr>
        <w:spacing w:after="0" w:line="144"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In May 2019, SciPlay completed an initial public offering for an 18.0% minority interest in our Social gaming business representing 22,720,000 shares of Class A common stock which is traded on The NASDAQ Global Select Market under the symbol “SCPL,” and issued Class B common stock, which is wholly owned by SGC and as of December 31, 2021 represents approximately 80.8% of SciPlay’s total outstanding shares of common stock and approximately 97.7% of the combined voting power of both classes of SciPlay’s outstanding common stock. Accordingly, we continue to control shares representing a majority of the combined voting power in SciPlay and continue to have a controlling financial interest in and consolidate SciPlay.</w:t>
      </w:r>
    </w:p>
    <w:p>
      <w:pPr>
        <w:spacing w:after="0" w:line="9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connection with the IPO, we consummated a series of organizational and other transactions, including an Intercompany Services Agreement, under which SGC provides to SciPlay certain corporate level general and administrative services that are charged to SciPlay and settled in cash and an intellectual property license agreement (“IP License Agreement”), pursuant to which SciPlay acquired certain licenses from a restricted subsidiary of SGC for a one-time payment of $255 million. Additionally, we entered into a tax receivable agreement (“TRA”), which provides for the payment by SciPlay to SGC of 85% of the amount of tax benefits, if any, that SciPlay actually realizes (or in some circumstances is deemed to realize) in connection with increases in the tax basis of assets of SciPlay Parent Company, LLC (“SciPlay Parent LLC”), over which SciPlay Corporation is the sole manager, in connection with the SciPlay IPO, redemption or exchanges of membership interests or certain distributions and other tax benefits related to SciPlay’s making of payments under the TRA.</w:t>
      </w:r>
    </w:p>
    <w:p>
      <w:pPr>
        <w:spacing w:after="0" w:line="12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corporate structure of the above transaction is commonly referred to as an “Up-C” structure, which allows us to continue to realize tax benefits associated with owning interests in an entity that is treated as a partnership, or “passthrough” entity, for U.S. income tax purposes. One of these benefits is that future taxable income of SciPlay Parent LLC that is allocated to us will be taxed on a flow-through basis and therefore will not be subject to corporate taxes at the SciPlay Parent LLC entity level. Additionally, because the Company may exchange or redeem our LLC Interests for newly issued shares of SciPlay’s Class A common stock on a one-for-one basis or, at SciPlay’s option, for cash, the Up-C structure also provides us with potential liquidity that holders of non-publicly traded limited liability companies are not typically afforded.</w:t>
      </w:r>
    </w:p>
    <w:p>
      <w:pPr>
        <w:spacing w:after="0" w:line="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a result of these transactions, in 2019 we received $312 million in net proceeds from the offering (net of $30 million used by SciPlay to pay the offering fees and balance retained by SciPlay for general corporate purposes).</w:t>
      </w:r>
    </w:p>
    <w:p>
      <w:pPr>
        <w:spacing w:after="0" w:line="10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noncontrolling interest share of equity in SciPlay is reflected as a component of the noncontrolling interest in the accompanying consolidated balance sheets and was $150 million and $129 million as of December 31, 2021 and 2020, respectively. The legal entities that comprise SciPlay are unrestricted subsidiaries under our credit agreement and the indentures governing the Senior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accounting policy disclosures are provided within the applicable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Cash and cash equivalents include all cash balances and highly liquid investments with an original maturity of three months or less. We place our temporary cash investments with high credit quality financial institutions. At times, such investments in U.S. accounts may be in excess of the Federal Deposit Insurance Corporation insurance limit.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required by gaming regulations to maintain sufficient reserves in restricted cash accounts to be used for the purpose of funding payments to WAP jackpot winners. These restricted cash balances are based primarily on the jackpot meters displayed to slot players or for previously won jackpots and vary by jurisdiction. Compliance with maintaining adequate restricted cash balances and complying with appropriate investment guidelines for jackpot funding is periodically reported to gaming authorities.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guarantees under licensing agreements</w:t>
      </w:r>
    </w:p>
    <w:p>
      <w:pPr>
        <w:spacing w:after="0" w:line="144"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enter into long-term license agreements with third parties in which we are obligated to pay a minimum guaranteed amount of royalties, typically periodically over the life of the contract. These license agreements provide us with access to a portfolio of major brands to be used across our business segments in building our strong brand presence across multiple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2" w:name="page93"/>
    <w:bookmarkEnd w:id="92"/>
    <w:p>
      <w:pPr>
        <w:ind w:right="140"/>
        <w:spacing w:after="0" w:line="293" w:lineRule="auto"/>
        <w:rPr>
          <w:sz w:val="20"/>
          <w:szCs w:val="20"/>
          <w:color w:val="auto"/>
        </w:rPr>
      </w:pPr>
      <w:r>
        <w:rPr>
          <w:rFonts w:ascii="Arial" w:cs="Arial" w:eastAsia="Arial" w:hAnsi="Arial"/>
          <w:sz w:val="16"/>
          <w:szCs w:val="16"/>
          <w:color w:val="auto"/>
        </w:rPr>
        <w:t>channels of distributions. We account for the minimum guaranteed obligations within accrued and other long-term liabilities at the onset of the license arrangement and record a corresponding licensed asset within intangible assets, net. The licensed intangible assets related to the minimum guaranteed obligations are amortized over the term of the license agreement with the amortization expense recorded in D&amp;A. The long-term liability related to the minimum guaranteed obligations is reduced as royalty payments are made as required under the license agreement. We assess the recoverability of license agreements whenever events arise or circumstances change that indicate the carrying value of the licensed asset may not be recoverable. Recoverability of the licensed asset and the amount of impairment, if any, are determined using our policy for intangible assets with finite useful lives.</w:t>
      </w:r>
    </w:p>
    <w:p>
      <w:pPr>
        <w:spacing w:after="0" w:line="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Amortization expense related to these licenses and recorded in D&amp;A for the years ended December 31, 2021, 2020 and 2019 was $40 million, $60 million and $68 million, respectively.</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are our total minimum guaranteed obligations for the periods presented:</w:t>
      </w:r>
    </w:p>
    <w:p>
      <w:pPr>
        <w:spacing w:after="0" w:line="239" w:lineRule="exact"/>
        <w:rPr>
          <w:sz w:val="20"/>
          <w:szCs w:val="20"/>
          <w:color w:val="auto"/>
        </w:rPr>
      </w:pPr>
    </w:p>
    <w:tbl>
      <w:tblPr>
        <w:tblLayout w:type="fixed"/>
        <w:tblInd w:w="124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As of December 31,</w:t>
            </w: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500" w:type="dxa"/>
            <w:vAlign w:val="bottom"/>
            <w:shd w:val="clear" w:color="auto" w:fill="CCEEFF"/>
          </w:tcPr>
          <w:p>
            <w:pPr>
              <w:jc w:val="right"/>
              <w:ind w:right="1313"/>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guarantee obligations</w:t>
            </w:r>
          </w:p>
        </w:tc>
        <w:tc>
          <w:tcPr>
            <w:tcW w:w="1500" w:type="dxa"/>
            <w:vAlign w:val="bottom"/>
            <w:tcBorders>
              <w:bottom w:val="single" w:sz="8" w:color="auto"/>
            </w:tcBorders>
            <w:shd w:val="clear" w:color="auto" w:fill="CCEEFF"/>
          </w:tcPr>
          <w:p>
            <w:pPr>
              <w:jc w:val="right"/>
              <w:ind w:right="1313"/>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remaining term (in years)</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jc w:val="right"/>
              <w:spacing w:after="0" w:line="204"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our remaining expected future payments of minimum guarantee obligations:</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Year Ending December 31,</w:t>
            </w: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10"/>
        </w:trPr>
        <w:tc>
          <w:tcPr>
            <w:tcW w:w="26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After 2026</w:t>
            </w:r>
          </w:p>
        </w:tc>
      </w:tr>
      <w:tr>
        <w:trPr>
          <w:trHeight w:val="22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future payments</w:t>
            </w: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5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capitalize debt issuance costs associated with long-term line-of-credit arrangements and amortize such amounts ratably over the term of the arrangement as an adjustment to interest expense.</w:t>
      </w:r>
    </w:p>
    <w:p>
      <w:pPr>
        <w:spacing w:after="0" w:line="10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assess the recoverability of our other long-term assets whenever events arise or circumstances change that indicate the carrying value of the asset may not be recoverable.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cost of advertising is expensed as incurred and totaled $124 million, $123 million and $125 million in 2021, 2020 and 2019,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R&amp;D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R&amp;D relates primarily to software product development costs and is expensed as incurred until technological feasibility has been established.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Employee-related costs associated with product development are included in R&amp;D.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significant operations where the local currency is the functional currency, including our operations in the U.K., Europe, Australia and Canada. Assets and liabilities of foreign operations are translated at period-end rates of exchange and results of operations are translated at the average rates of exchange for the period. Gains or losses resulting from translating the foreign currency financial statements are accumulated as a separate component of accumulated other comprehensive loss in stockholders’ deficit. Gains or losses resulting from foreign currency transactions are included in Other (expense) income, net.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15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include and classify in comprehensive income (loss) unrealized gains and losses from our foreign currency translation adjustments, the effective portion of derivative financial instruments designated as hedging instruments, net investment non-derivative hedge of our investments in certain of our international subsidiaries and for our discontinued operations certain gains or losses associated with pension or other post-retirement benefits, including prior service costs or credits and transition assets or obligations.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color w:val="auto"/>
        </w:rPr>
        <w:t>New Accounting Guidance - Recently Adopted</w:t>
      </w:r>
    </w:p>
    <w:p>
      <w:pPr>
        <w:spacing w:after="0" w:line="15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The FASB issued ASU No. 2021-05,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w:t>
      </w:r>
      <w:r>
        <w:rPr>
          <w:rFonts w:ascii="Arial" w:cs="Arial" w:eastAsia="Arial" w:hAnsi="Arial"/>
          <w:sz w:val="18"/>
          <w:szCs w:val="18"/>
          <w:i w:val="1"/>
          <w:iCs w:val="1"/>
          <w:color w:val="auto"/>
        </w:rPr>
        <w:t>Lessors – Certain Leases with Variable Lease Payments</w:t>
      </w:r>
      <w:r>
        <w:rPr>
          <w:rFonts w:ascii="Arial" w:cs="Arial" w:eastAsia="Arial" w:hAnsi="Arial"/>
          <w:sz w:val="18"/>
          <w:szCs w:val="18"/>
          <w:color w:val="auto"/>
        </w:rPr>
        <w:t>, on July 19, 2021. The new guidance requires the lessor to classify a lease with variable lease payments that do not depend on an index or a rate as an operating lease at lease commencement if classifying the lease as a sales-type lease or direct financing lease would result in the recognition of a selling loss. We adopted this standard during the third quarter of 2021 on a prospective basis. The adoption of this guidance did not have a material effect on our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 - Not Yet Adopted</w:t>
      </w:r>
    </w:p>
    <w:p>
      <w:pPr>
        <w:spacing w:after="0" w:line="15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The FASB issued ASU No. 2020-04 and subsequently ASU No. 2021-01,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(Topic 848) in March 2020 and January 2021, respectively. The new guidance provides optional expedients and exceptions for applying U.S. GAAP to contract modifications and hedging relationships, including derivative instruments impacted by changes in the interest rates used for discounting cash flows for computing variable margin settlements, subject to meeting certain criteria, that reference LIBOR or other reference rates expected to be discontinued, in 2022 or potentially 2023 (pending possible extension). The ASUs establish certain contract modification principles that entities can apply in other areas that may be affected by reference rate reform and certain elective hedge accounting expedients and exceptions. The ASUs may be applied prospectively. Based on our preliminary assessment completed to date, we do not expect the adoption of this guidance to have a significant impact on our consolidated financial statements.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expect that any other recently issued accounting guidance will have a significant effect on our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6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As described in Note 1, we have reflected the financial results of the Lottery and Sports Betting businesses as discontinued operations in our consolidated statements of operations and reflected the assets and liabilities of these businesses as held for sale in our consolidated balance sheets, for all periods presented. The Lottery business was historically our Lottery business reportable segment and Sports Betting business was historically included in our former Digital business reportable segment, which we renamed to iGaming business segment (subsequent to the removal of the Sports Betting business).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results of our discontinued operations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0"/>
        </w:trPr>
        <w:tc>
          <w:tcPr>
            <w:tcW w:w="58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2019</w:t>
            </w:r>
          </w:p>
        </w:tc>
      </w:tr>
      <w:tr>
        <w:trPr>
          <w:trHeight w:val="22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160" w:type="dxa"/>
            <w:vAlign w:val="bottom"/>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Total cost of revenue</w:t>
            </w:r>
            <w:r>
              <w:rPr>
                <w:rFonts w:ascii="Arial" w:cs="Arial" w:eastAsia="Arial" w:hAnsi="Arial"/>
                <w:sz w:val="23"/>
                <w:szCs w:val="23"/>
                <w:color w:val="auto"/>
                <w:vertAlign w:val="superscript"/>
              </w:rPr>
              <w:t>(1)</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operating expenses</w:t>
            </w:r>
            <w:r>
              <w:rPr>
                <w:rFonts w:ascii="Arial" w:cs="Arial" w:eastAsia="Arial" w:hAnsi="Arial"/>
                <w:sz w:val="23"/>
                <w:szCs w:val="23"/>
                <w:color w:val="auto"/>
                <w:vertAlign w:val="superscript"/>
              </w:rPr>
              <w:t>(2)</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(expenses), net</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820" w:type="dxa"/>
            <w:vAlign w:val="bottom"/>
          </w:tcPr>
          <w:p>
            <w:pPr>
              <w:ind w:left="140"/>
              <w:spacing w:after="0"/>
              <w:rPr>
                <w:sz w:val="20"/>
                <w:szCs w:val="20"/>
                <w:color w:val="auto"/>
              </w:rPr>
            </w:pPr>
            <w:r>
              <w:rPr>
                <w:rFonts w:ascii="Arial" w:cs="Arial" w:eastAsia="Arial" w:hAnsi="Arial"/>
                <w:sz w:val="18"/>
                <w:szCs w:val="18"/>
                <w:color w:val="auto"/>
              </w:rPr>
              <w:t>Net income from discontinued operations before income taxes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169"/>
        </w:trPr>
        <w:tc>
          <w:tcPr>
            <w:tcW w:w="5820" w:type="dxa"/>
            <w:vAlign w:val="bottom"/>
          </w:tcPr>
          <w:p>
            <w:pPr>
              <w:ind w:left="20"/>
              <w:spacing w:after="0" w:line="169" w:lineRule="exact"/>
              <w:rPr>
                <w:sz w:val="20"/>
                <w:szCs w:val="20"/>
                <w:color w:val="auto"/>
              </w:rPr>
            </w:pPr>
            <w:r>
              <w:rPr>
                <w:rFonts w:ascii="Arial" w:cs="Arial" w:eastAsia="Arial" w:hAnsi="Arial"/>
                <w:sz w:val="18"/>
                <w:szCs w:val="18"/>
                <w:color w:val="auto"/>
              </w:rPr>
              <w:t>Net income from discontinued operations, net of tax included in the</w:t>
            </w:r>
          </w:p>
        </w:tc>
        <w:tc>
          <w:tcPr>
            <w:tcW w:w="1160" w:type="dxa"/>
            <w:vAlign w:val="bottom"/>
          </w:tcPr>
          <w:p>
            <w:pPr>
              <w:jc w:val="right"/>
              <w:ind w:right="953"/>
              <w:spacing w:after="0" w:line="169"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169" w:lineRule="exact"/>
              <w:rPr>
                <w:sz w:val="20"/>
                <w:szCs w:val="20"/>
                <w:color w:val="auto"/>
              </w:rPr>
            </w:pPr>
            <w:r>
              <w:rPr>
                <w:rFonts w:ascii="Arial" w:cs="Arial" w:eastAsia="Arial" w:hAnsi="Arial"/>
                <w:sz w:val="18"/>
                <w:szCs w:val="18"/>
                <w:color w:val="auto"/>
              </w:rPr>
              <w:t>366</w:t>
            </w:r>
          </w:p>
        </w:tc>
        <w:tc>
          <w:tcPr>
            <w:tcW w:w="100" w:type="dxa"/>
            <w:vAlign w:val="bottom"/>
          </w:tcPr>
          <w:p>
            <w:pPr>
              <w:spacing w:after="0"/>
              <w:rPr>
                <w:sz w:val="14"/>
                <w:szCs w:val="14"/>
                <w:color w:val="auto"/>
              </w:rPr>
            </w:pPr>
          </w:p>
        </w:tc>
        <w:tc>
          <w:tcPr>
            <w:tcW w:w="420" w:type="dxa"/>
            <w:vAlign w:val="bottom"/>
          </w:tcPr>
          <w:p>
            <w:pPr>
              <w:jc w:val="right"/>
              <w:ind w:right="210"/>
              <w:spacing w:after="0" w:line="169"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169" w:lineRule="exact"/>
              <w:rPr>
                <w:sz w:val="20"/>
                <w:szCs w:val="20"/>
                <w:color w:val="auto"/>
              </w:rPr>
            </w:pPr>
            <w:r>
              <w:rPr>
                <w:rFonts w:ascii="Arial" w:cs="Arial" w:eastAsia="Arial" w:hAnsi="Arial"/>
                <w:sz w:val="18"/>
                <w:szCs w:val="18"/>
                <w:color w:val="auto"/>
              </w:rPr>
              <w:t>253</w:t>
            </w:r>
          </w:p>
        </w:tc>
        <w:tc>
          <w:tcPr>
            <w:tcW w:w="100" w:type="dxa"/>
            <w:vAlign w:val="bottom"/>
          </w:tcPr>
          <w:p>
            <w:pPr>
              <w:spacing w:after="0"/>
              <w:rPr>
                <w:sz w:val="14"/>
                <w:szCs w:val="14"/>
                <w:color w:val="auto"/>
              </w:rPr>
            </w:pPr>
          </w:p>
        </w:tc>
        <w:tc>
          <w:tcPr>
            <w:tcW w:w="400" w:type="dxa"/>
            <w:vAlign w:val="bottom"/>
          </w:tcPr>
          <w:p>
            <w:pPr>
              <w:jc w:val="right"/>
              <w:ind w:right="210"/>
              <w:spacing w:after="0" w:line="169"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69" w:lineRule="exact"/>
              <w:rPr>
                <w:sz w:val="20"/>
                <w:szCs w:val="20"/>
                <w:color w:val="auto"/>
              </w:rPr>
            </w:pPr>
            <w:r>
              <w:rPr>
                <w:rFonts w:ascii="Arial" w:cs="Arial" w:eastAsia="Arial" w:hAnsi="Arial"/>
                <w:sz w:val="18"/>
                <w:szCs w:val="18"/>
                <w:color w:val="auto"/>
              </w:rPr>
              <w:t>212</w:t>
            </w:r>
          </w:p>
        </w:tc>
      </w:tr>
      <w:tr>
        <w:trPr>
          <w:trHeight w:val="189"/>
        </w:trPr>
        <w:tc>
          <w:tcPr>
            <w:tcW w:w="5820" w:type="dxa"/>
            <w:vAlign w:val="bottom"/>
          </w:tcPr>
          <w:p>
            <w:pPr>
              <w:ind w:left="20"/>
              <w:spacing w:after="0" w:line="189" w:lineRule="exact"/>
              <w:rPr>
                <w:sz w:val="20"/>
                <w:szCs w:val="20"/>
                <w:color w:val="auto"/>
              </w:rPr>
            </w:pPr>
            <w:r>
              <w:rPr>
                <w:rFonts w:ascii="Arial" w:cs="Arial" w:eastAsia="Arial" w:hAnsi="Arial"/>
                <w:sz w:val="18"/>
                <w:szCs w:val="18"/>
                <w:color w:val="auto"/>
              </w:rPr>
              <w:t>consolidated statement of operations</w:t>
            </w:r>
          </w:p>
        </w:tc>
        <w:tc>
          <w:tcPr>
            <w:tcW w:w="1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0"/>
        </w:trPr>
        <w:tc>
          <w:tcPr>
            <w:tcW w:w="5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20" w:hanging="194"/>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D&amp;A.</w:t>
      </w:r>
    </w:p>
    <w:p>
      <w:pPr>
        <w:spacing w:after="0" w:line="28" w:lineRule="exact"/>
        <w:rPr>
          <w:rFonts w:ascii="Arial" w:cs="Arial" w:eastAsia="Arial" w:hAnsi="Arial"/>
          <w:sz w:val="14"/>
          <w:szCs w:val="14"/>
          <w:color w:val="auto"/>
        </w:rPr>
      </w:pPr>
    </w:p>
    <w:p>
      <w:pPr>
        <w:ind w:left="20" w:right="180" w:firstLine="6"/>
        <w:spacing w:after="0" w:line="224" w:lineRule="auto"/>
        <w:tabs>
          <w:tab w:leader="none" w:pos="224"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D&amp;A of $79 million, $105 million and $105 million for the years ended December 31, 2021, 2020 and 2019, respectively, along with stock-based compensation of $24 million, $5 million and $5 million for each of the years ended December 31, 2021, 2020 and 2019. Due to the discontinued operations classification of these businesses as of the third quarter of 2021, the D&amp;A for these businesses has ceased.</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major classes of assets and liabilities of businesses held for sale.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As of December 31,</w:t>
            </w:r>
          </w:p>
        </w:tc>
        <w:tc>
          <w:tcPr>
            <w:tcW w:w="1100" w:type="dxa"/>
            <w:vAlign w:val="bottom"/>
            <w:tcBorders>
              <w:bottom w:val="single" w:sz="8" w:color="auto"/>
            </w:tcBorders>
          </w:tcPr>
          <w:p>
            <w:pPr>
              <w:spacing w:after="0"/>
              <w:rPr>
                <w:sz w:val="18"/>
                <w:szCs w:val="18"/>
                <w:color w:val="auto"/>
              </w:rPr>
            </w:pPr>
          </w:p>
        </w:tc>
      </w:tr>
      <w:tr>
        <w:trPr>
          <w:trHeight w:val="207"/>
        </w:trPr>
        <w:tc>
          <w:tcPr>
            <w:tcW w:w="758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6"/>
                <w:szCs w:val="16"/>
                <w:b w:val="1"/>
                <w:bCs w:val="1"/>
                <w:color w:val="auto"/>
              </w:rPr>
              <w:t>2020</w:t>
            </w:r>
          </w:p>
        </w:tc>
      </w:tr>
      <w:tr>
        <w:trPr>
          <w:trHeight w:val="215"/>
        </w:trPr>
        <w:tc>
          <w:tcPr>
            <w:tcW w:w="7580" w:type="dxa"/>
            <w:vAlign w:val="bottom"/>
          </w:tcPr>
          <w:p>
            <w:pPr>
              <w:ind w:left="3460"/>
              <w:spacing w:after="0"/>
              <w:rPr>
                <w:sz w:val="20"/>
                <w:szCs w:val="20"/>
                <w:color w:val="auto"/>
              </w:rPr>
            </w:pPr>
            <w:r>
              <w:rPr>
                <w:rFonts w:ascii="Arial" w:cs="Arial" w:eastAsia="Arial" w:hAnsi="Arial"/>
                <w:sz w:val="18"/>
                <w:szCs w:val="18"/>
                <w:b w:val="1"/>
                <w:bCs w:val="1"/>
                <w:color w:val="auto"/>
              </w:rPr>
              <w:t>ASSETS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Receivables, net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deposits and other current assets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color w:val="auto"/>
              </w:rPr>
              <w:t>Total current assets of businesses held for sale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Intangible assets and software, net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Equity investments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non-current assets of businesses held for sale</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of businesses held for sale</w:t>
            </w:r>
          </w:p>
        </w:tc>
        <w:tc>
          <w:tcPr>
            <w:tcW w:w="110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580" w:type="dxa"/>
            <w:vAlign w:val="bottom"/>
            <w:shd w:val="clear" w:color="auto" w:fill="CCEEFF"/>
          </w:tcPr>
          <w:p>
            <w:pPr>
              <w:ind w:left="324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100" w:type="dxa"/>
            <w:vAlign w:val="bottom"/>
          </w:tcPr>
          <w:p>
            <w:pPr>
              <w:jc w:val="right"/>
              <w:ind w:right="9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 and other</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color w:val="auto"/>
              </w:rPr>
              <w:t>Total current liabilities of businesses held for sale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non-current liabilities of businesses held for sale</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Total liabilities of businesses held for sale</w:t>
            </w:r>
          </w:p>
        </w:tc>
        <w:tc>
          <w:tcPr>
            <w:tcW w:w="110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0"/>
        </w:trPr>
        <w:tc>
          <w:tcPr>
            <w:tcW w:w="7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Segments</w:t>
      </w:r>
    </w:p>
    <w:p>
      <w:pPr>
        <w:spacing w:after="0" w:line="16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As described in Notes 1 and 2, we have reflected the financial results of the Lottery and Sports Betting businesses as discontinued operations. As a result, Lottery is no longer a reportable business segment and our former Digital segment has been renamed to iGaming and was recast to exclude the Sports Betting business for all periods presented. Accordingly, we report our results of continuing operations in three business segments—Gaming, SciPlay and iGaming (former Digital business segment excluding Sports Betting)—representing our different products and services.</w:t>
      </w:r>
    </w:p>
    <w:p>
      <w:pPr>
        <w:spacing w:after="0" w:line="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evaluating financial performance, our Chief Operating Decision Maker (“CODM”) focuses on AEBITDA as management’s primary segment measure of profit or loss, which is described in footnote (2) to the below table. As a result of our strategic changes and Pending Divestitures, starting with the third quarter of 2021, our CODM reassessed how he evaluates the operating results and performance of our Gaming business segment that resulted in an immaterial change to the Gaming business Segment AEBITDA calculation, which is our primary measure of the Gaming business segment performance measure of profit or loss. The Gaming business segment AEBITDA, has been recast for all periods presented herein to exclude EBITDA from equity investments to align with this new view.</w:t>
      </w:r>
    </w:p>
    <w:p>
      <w:pPr>
        <w:spacing w:after="0" w:line="1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Gaming business segment generally sells gaming machines, VGTs, VLTs (including conversion kits and parts), leases or otherwise provides gaming machines, server-based systems and content, sells and supports CMS-based software and hardware, licenses PTG content, and supplies Shufflers to commercial, tribal and governmental gaming operators. Our SciPlay business segment develops, markets, and operates a portfolio of social games played on various mobile and web platforms. Our iGaming business segment provides various content aggregation platforms, remote gaming servers, and various other platforms, which deliver a wide spectrum of internally developed and branded games and popular third-party provided games to gaming operators. See Note 4 for the products and services from which each reportable segment derives its revenues.</w:t>
      </w:r>
    </w:p>
    <w:p>
      <w:pPr>
        <w:spacing w:after="0" w:line="9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accounting policies for our business segments are the same as those described in these Notes. The following tables present our segment information: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6"/>
                <w:szCs w:val="16"/>
                <w:b w:val="1"/>
                <w:bCs w:val="1"/>
                <w:color w:val="auto"/>
                <w:w w:val="91"/>
              </w:rPr>
              <w:t>Year Ended December 31, 2021</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Gaming</w:t>
            </w:r>
          </w:p>
        </w:tc>
        <w:tc>
          <w:tcPr>
            <w:tcW w:w="280" w:type="dxa"/>
            <w:vAlign w:val="bottom"/>
          </w:tcPr>
          <w:p>
            <w:pPr>
              <w:spacing w:after="0"/>
              <w:rPr>
                <w:sz w:val="13"/>
                <w:szCs w:val="13"/>
                <w:color w:val="auto"/>
              </w:rPr>
            </w:pPr>
          </w:p>
        </w:tc>
        <w:tc>
          <w:tcPr>
            <w:tcW w:w="130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SciPlay</w:t>
            </w:r>
          </w:p>
        </w:tc>
        <w:tc>
          <w:tcPr>
            <w:tcW w:w="260" w:type="dxa"/>
            <w:vAlign w:val="bottom"/>
          </w:tcPr>
          <w:p>
            <w:pPr>
              <w:spacing w:after="0"/>
              <w:rPr>
                <w:sz w:val="13"/>
                <w:szCs w:val="13"/>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3"/>
              </w:rPr>
              <w:t>iGaming</w:t>
            </w:r>
          </w:p>
        </w:tc>
        <w:tc>
          <w:tcPr>
            <w:tcW w:w="160" w:type="dxa"/>
            <w:vAlign w:val="bottom"/>
          </w:tcPr>
          <w:p>
            <w:pPr>
              <w:spacing w:after="0"/>
              <w:rPr>
                <w:sz w:val="13"/>
                <w:szCs w:val="13"/>
                <w:color w:val="auto"/>
              </w:rPr>
            </w:pPr>
          </w:p>
        </w:tc>
        <w:tc>
          <w:tcPr>
            <w:tcW w:w="14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2"/>
              </w:rPr>
              <w:t>Unallocated and</w:t>
            </w:r>
          </w:p>
        </w:tc>
        <w:tc>
          <w:tcPr>
            <w:tcW w:w="340" w:type="dxa"/>
            <w:vAlign w:val="bottom"/>
          </w:tcPr>
          <w:p>
            <w:pPr>
              <w:spacing w:after="0"/>
              <w:rPr>
                <w:sz w:val="13"/>
                <w:szCs w:val="13"/>
                <w:color w:val="auto"/>
              </w:rPr>
            </w:pPr>
          </w:p>
        </w:tc>
        <w:tc>
          <w:tcPr>
            <w:tcW w:w="1120" w:type="dxa"/>
            <w:vAlign w:val="bottom"/>
            <w:vMerge w:val="restart"/>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0" w:type="dxa"/>
            <w:vAlign w:val="bottom"/>
            <w:gridSpan w:val="3"/>
          </w:tcPr>
          <w:p>
            <w:pPr>
              <w:jc w:val="center"/>
              <w:ind w:right="80"/>
              <w:spacing w:after="0" w:line="216" w:lineRule="exact"/>
              <w:rPr>
                <w:sz w:val="20"/>
                <w:szCs w:val="20"/>
                <w:color w:val="auto"/>
              </w:rPr>
            </w:pPr>
            <w:r>
              <w:rPr>
                <w:rFonts w:ascii="Arial" w:cs="Arial" w:eastAsia="Arial" w:hAnsi="Arial"/>
                <w:sz w:val="16"/>
                <w:szCs w:val="16"/>
                <w:b w:val="1"/>
                <w:bCs w:val="1"/>
                <w:color w:val="auto"/>
                <w:w w:val="88"/>
              </w:rPr>
              <w:t>Reconciling Items</w:t>
            </w:r>
            <w:r>
              <w:rPr>
                <w:rFonts w:ascii="Arial" w:cs="Arial" w:eastAsia="Arial" w:hAnsi="Arial"/>
                <w:sz w:val="21"/>
                <w:szCs w:val="21"/>
                <w:b w:val="1"/>
                <w:bCs w:val="1"/>
                <w:color w:val="auto"/>
                <w:w w:val="88"/>
                <w:vertAlign w:val="superscript"/>
              </w:rPr>
              <w:t>(1)</w:t>
            </w: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line="243" w:lineRule="exact"/>
              <w:rPr>
                <w:sz w:val="20"/>
                <w:szCs w:val="20"/>
                <w:color w:val="auto"/>
              </w:rPr>
            </w:pPr>
            <w:r>
              <w:rPr>
                <w:rFonts w:ascii="Arial" w:cs="Arial" w:eastAsia="Arial" w:hAnsi="Arial"/>
                <w:sz w:val="18"/>
                <w:szCs w:val="18"/>
                <w:color w:val="auto"/>
              </w:rPr>
              <w:t>AEBITDA</w:t>
            </w:r>
            <w:r>
              <w:rPr>
                <w:rFonts w:ascii="Arial" w:cs="Arial" w:eastAsia="Arial" w:hAnsi="Arial"/>
                <w:sz w:val="23"/>
                <w:szCs w:val="23"/>
                <w:color w:val="auto"/>
                <w:vertAlign w:val="superscript"/>
              </w:rPr>
              <w:t>(2)</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43"/>
        </w:trPr>
        <w:tc>
          <w:tcPr>
            <w:tcW w:w="6640" w:type="dxa"/>
            <w:vAlign w:val="bottom"/>
            <w:gridSpan w:val="8"/>
            <w:shd w:val="clear" w:color="auto" w:fill="CCEEFF"/>
          </w:tcPr>
          <w:p>
            <w:pPr>
              <w:ind w:left="20"/>
              <w:spacing w:after="0"/>
              <w:rPr>
                <w:sz w:val="20"/>
                <w:szCs w:val="20"/>
                <w:color w:val="auto"/>
              </w:rPr>
            </w:pPr>
            <w:r>
              <w:rPr>
                <w:rFonts w:ascii="Arial" w:cs="Arial" w:eastAsia="Arial" w:hAnsi="Arial"/>
                <w:sz w:val="18"/>
                <w:szCs w:val="18"/>
                <w:i w:val="1"/>
                <w:iCs w:val="1"/>
                <w:color w:val="auto"/>
                <w:w w:val="90"/>
              </w:rPr>
              <w:t>Reconciling items to consolidated Net loss from continuing operations before income taxes:</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D&amp;A</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remeasurement of debt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69"/>
        </w:trPr>
        <w:tc>
          <w:tcPr>
            <w:tcW w:w="3500" w:type="dxa"/>
            <w:vAlign w:val="bottom"/>
          </w:tcPr>
          <w:p>
            <w:pPr>
              <w:ind w:left="20"/>
              <w:spacing w:after="0" w:line="169" w:lineRule="exact"/>
              <w:rPr>
                <w:sz w:val="20"/>
                <w:szCs w:val="20"/>
                <w:color w:val="auto"/>
              </w:rPr>
            </w:pPr>
            <w:r>
              <w:rPr>
                <w:rFonts w:ascii="Arial" w:cs="Arial" w:eastAsia="Arial" w:hAnsi="Arial"/>
                <w:sz w:val="18"/>
                <w:szCs w:val="18"/>
                <w:color w:val="auto"/>
              </w:rPr>
              <w:t>Net loss from continuing operations before</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ind w:right="130"/>
              <w:spacing w:after="0" w:line="169"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69" w:lineRule="exact"/>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line="202" w:lineRule="exact"/>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as of December 31,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Capital expenditures for the year ended</w:t>
            </w:r>
          </w:p>
        </w:tc>
        <w:tc>
          <w:tcPr>
            <w:tcW w:w="280" w:type="dxa"/>
            <w:vAlign w:val="bottom"/>
          </w:tcPr>
          <w:p>
            <w:pPr>
              <w:jc w:val="right"/>
              <w:ind w:right="90"/>
              <w:spacing w:after="0" w:line="17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123</w:t>
            </w:r>
          </w:p>
        </w:tc>
        <w:tc>
          <w:tcPr>
            <w:tcW w:w="120" w:type="dxa"/>
            <w:vAlign w:val="bottom"/>
          </w:tcPr>
          <w:p>
            <w:pPr>
              <w:spacing w:after="0"/>
              <w:rPr>
                <w:sz w:val="15"/>
                <w:szCs w:val="15"/>
                <w:color w:val="auto"/>
              </w:rPr>
            </w:pPr>
          </w:p>
        </w:tc>
        <w:tc>
          <w:tcPr>
            <w:tcW w:w="280" w:type="dxa"/>
            <w:vAlign w:val="bottom"/>
          </w:tcPr>
          <w:p>
            <w:pPr>
              <w:jc w:val="right"/>
              <w:ind w:right="90"/>
              <w:spacing w:after="0" w:line="17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ind w:right="70"/>
              <w:spacing w:after="0" w:line="17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340" w:type="dxa"/>
            <w:vAlign w:val="bottom"/>
          </w:tcPr>
          <w:p>
            <w:pPr>
              <w:jc w:val="right"/>
              <w:ind w:right="130"/>
              <w:spacing w:after="0" w:line="176"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 w:right="40" w:firstLine="6"/>
        <w:spacing w:after="0" w:line="231" w:lineRule="auto"/>
        <w:tabs>
          <w:tab w:leader="none" w:pos="224"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amounts not allocated to the business segments (including corporate costs) and items to reconcile the total business segments AEBITDA to our consolidated net loss from continuing operations before income taxes.</w:t>
      </w:r>
    </w:p>
    <w:p>
      <w:pPr>
        <w:spacing w:after="0" w:line="8" w:lineRule="exact"/>
        <w:rPr>
          <w:rFonts w:ascii="Arial" w:cs="Arial" w:eastAsia="Arial" w:hAnsi="Arial"/>
          <w:sz w:val="14"/>
          <w:szCs w:val="14"/>
          <w:color w:val="auto"/>
        </w:rPr>
      </w:pPr>
    </w:p>
    <w:p>
      <w:pPr>
        <w:ind w:left="20" w:right="240" w:firstLine="6"/>
        <w:spacing w:after="0" w:line="215" w:lineRule="auto"/>
        <w:tabs>
          <w:tab w:leader="none" w:pos="224" w:val="left"/>
        </w:tabs>
        <w:numPr>
          <w:ilvl w:val="0"/>
          <w:numId w:val="37"/>
        </w:numPr>
        <w:rPr>
          <w:rFonts w:ascii="Arial" w:cs="Arial" w:eastAsia="Arial" w:hAnsi="Arial"/>
          <w:sz w:val="14"/>
          <w:szCs w:val="14"/>
          <w:color w:val="auto"/>
        </w:rPr>
      </w:pPr>
      <w:r>
        <w:rPr>
          <w:rFonts w:ascii="Arial" w:cs="Arial" w:eastAsia="Arial" w:hAnsi="Arial"/>
          <w:sz w:val="14"/>
          <w:szCs w:val="14"/>
          <w:color w:val="auto"/>
        </w:rPr>
        <w:t>AEBITDA is reconciled to net loss from continuing operations before income taxes with the following adjustments: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costs and other unusual items; (3) interest expense; (4) loss (gain) on debt financing transactions; (5) change in fair value of investments and remeasurement of debt; (6) other expense (income), net including foreign currency (gains), and losses and earnings (loss) from equity investments; and (7) stock-based compensation. AEBITDA is presented as our primary segment measure of profit or loss.</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6"/>
                <w:szCs w:val="16"/>
                <w:b w:val="1"/>
                <w:bCs w:val="1"/>
                <w:color w:val="auto"/>
                <w:w w:val="91"/>
              </w:rPr>
              <w:t>Year Ended December 31, 2020</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Gaming</w:t>
            </w:r>
          </w:p>
        </w:tc>
        <w:tc>
          <w:tcPr>
            <w:tcW w:w="300" w:type="dxa"/>
            <w:vAlign w:val="bottom"/>
          </w:tcPr>
          <w:p>
            <w:pPr>
              <w:spacing w:after="0"/>
              <w:rPr>
                <w:sz w:val="13"/>
                <w:szCs w:val="13"/>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SciPlay</w:t>
            </w:r>
          </w:p>
        </w:tc>
        <w:tc>
          <w:tcPr>
            <w:tcW w:w="320" w:type="dxa"/>
            <w:vAlign w:val="bottom"/>
          </w:tcPr>
          <w:p>
            <w:pPr>
              <w:spacing w:after="0"/>
              <w:rPr>
                <w:sz w:val="13"/>
                <w:szCs w:val="13"/>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w w:val="96"/>
              </w:rPr>
              <w:t>iGaming</w:t>
            </w:r>
          </w:p>
        </w:tc>
        <w:tc>
          <w:tcPr>
            <w:tcW w:w="140" w:type="dxa"/>
            <w:vAlign w:val="bottom"/>
          </w:tcPr>
          <w:p>
            <w:pPr>
              <w:spacing w:after="0"/>
              <w:rPr>
                <w:sz w:val="13"/>
                <w:szCs w:val="13"/>
                <w:color w:val="auto"/>
              </w:rPr>
            </w:pPr>
          </w:p>
        </w:tc>
        <w:tc>
          <w:tcPr>
            <w:tcW w:w="14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0"/>
              </w:rPr>
              <w:t>Unallocated and</w:t>
            </w:r>
          </w:p>
        </w:tc>
        <w:tc>
          <w:tcPr>
            <w:tcW w:w="320" w:type="dxa"/>
            <w:vAlign w:val="bottom"/>
          </w:tcPr>
          <w:p>
            <w:pPr>
              <w:spacing w:after="0"/>
              <w:rPr>
                <w:sz w:val="13"/>
                <w:szCs w:val="13"/>
                <w:color w:val="auto"/>
              </w:rPr>
            </w:pPr>
          </w:p>
        </w:tc>
        <w:tc>
          <w:tcPr>
            <w:tcW w:w="118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20" w:type="dxa"/>
            <w:vAlign w:val="bottom"/>
            <w:gridSpan w:val="3"/>
          </w:tcPr>
          <w:p>
            <w:pPr>
              <w:jc w:val="center"/>
              <w:ind w:right="140"/>
              <w:spacing w:after="0" w:line="216" w:lineRule="exact"/>
              <w:rPr>
                <w:sz w:val="20"/>
                <w:szCs w:val="20"/>
                <w:color w:val="auto"/>
              </w:rPr>
            </w:pPr>
            <w:r>
              <w:rPr>
                <w:rFonts w:ascii="Arial" w:cs="Arial" w:eastAsia="Arial" w:hAnsi="Arial"/>
                <w:sz w:val="16"/>
                <w:szCs w:val="16"/>
                <w:b w:val="1"/>
                <w:bCs w:val="1"/>
                <w:color w:val="auto"/>
                <w:w w:val="88"/>
              </w:rPr>
              <w:t>Reconciling Items</w:t>
            </w:r>
            <w:r>
              <w:rPr>
                <w:rFonts w:ascii="Arial" w:cs="Arial" w:eastAsia="Arial" w:hAnsi="Arial"/>
                <w:sz w:val="21"/>
                <w:szCs w:val="21"/>
                <w:b w:val="1"/>
                <w:bCs w:val="1"/>
                <w:color w:val="auto"/>
                <w:w w:val="88"/>
                <w:vertAlign w:val="superscript"/>
              </w:rPr>
              <w:t>(1)</w:t>
            </w:r>
          </w:p>
        </w:tc>
        <w:tc>
          <w:tcPr>
            <w:tcW w:w="3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line="243" w:lineRule="exact"/>
              <w:rPr>
                <w:sz w:val="20"/>
                <w:szCs w:val="20"/>
                <w:color w:val="auto"/>
              </w:rPr>
            </w:pPr>
            <w:r>
              <w:rPr>
                <w:rFonts w:ascii="Arial" w:cs="Arial" w:eastAsia="Arial" w:hAnsi="Arial"/>
                <w:sz w:val="18"/>
                <w:szCs w:val="18"/>
                <w:color w:val="auto"/>
              </w:rPr>
              <w:t>AEBITDA</w:t>
            </w:r>
            <w:r>
              <w:rPr>
                <w:rFonts w:ascii="Arial" w:cs="Arial" w:eastAsia="Arial" w:hAnsi="Arial"/>
                <w:sz w:val="23"/>
                <w:szCs w:val="23"/>
                <w:color w:val="auto"/>
                <w:vertAlign w:val="superscript"/>
              </w:rPr>
              <w:t>(2)</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6760" w:type="dxa"/>
            <w:vAlign w:val="bottom"/>
            <w:gridSpan w:val="8"/>
            <w:shd w:val="clear" w:color="auto" w:fill="CCEEFF"/>
          </w:tcPr>
          <w:p>
            <w:pPr>
              <w:ind w:left="20"/>
              <w:spacing w:after="0"/>
              <w:rPr>
                <w:sz w:val="20"/>
                <w:szCs w:val="20"/>
                <w:color w:val="auto"/>
              </w:rPr>
            </w:pPr>
            <w:r>
              <w:rPr>
                <w:rFonts w:ascii="Arial" w:cs="Arial" w:eastAsia="Arial" w:hAnsi="Arial"/>
                <w:sz w:val="18"/>
                <w:szCs w:val="18"/>
                <w:i w:val="1"/>
                <w:iCs w:val="1"/>
                <w:color w:val="auto"/>
                <w:w w:val="92"/>
              </w:rPr>
              <w:t>Reconciling items to consolidated Net loss from continuing operations before income taxes:</w:t>
            </w: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D&amp;A</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Loss on debt financing transactions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remeasurement of debt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69"/>
        </w:trPr>
        <w:tc>
          <w:tcPr>
            <w:tcW w:w="3240" w:type="dxa"/>
            <w:vAlign w:val="bottom"/>
          </w:tcPr>
          <w:p>
            <w:pPr>
              <w:ind w:left="20"/>
              <w:spacing w:after="0" w:line="169" w:lineRule="exact"/>
              <w:rPr>
                <w:sz w:val="20"/>
                <w:szCs w:val="20"/>
                <w:color w:val="auto"/>
              </w:rPr>
            </w:pPr>
            <w:r>
              <w:rPr>
                <w:rFonts w:ascii="Arial" w:cs="Arial" w:eastAsia="Arial" w:hAnsi="Arial"/>
                <w:sz w:val="18"/>
                <w:szCs w:val="18"/>
                <w:color w:val="auto"/>
                <w:w w:val="94"/>
              </w:rPr>
              <w:t>Net loss from continuing operations before</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ind w:right="130"/>
              <w:spacing w:after="0" w:line="169"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69" w:lineRule="exact"/>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as of December 31, 2020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175"/>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rPr>
              <w:t>Capital expenditures for the year ended</w:t>
            </w:r>
          </w:p>
        </w:tc>
        <w:tc>
          <w:tcPr>
            <w:tcW w:w="280" w:type="dxa"/>
            <w:vAlign w:val="bottom"/>
          </w:tcPr>
          <w:p>
            <w:pPr>
              <w:jc w:val="right"/>
              <w:ind w:right="90"/>
              <w:spacing w:after="0" w:line="17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5"/>
                <w:szCs w:val="15"/>
                <w:color w:val="auto"/>
              </w:rPr>
            </w:pPr>
          </w:p>
        </w:tc>
        <w:tc>
          <w:tcPr>
            <w:tcW w:w="300" w:type="dxa"/>
            <w:vAlign w:val="bottom"/>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320" w:type="dxa"/>
            <w:vAlign w:val="bottom"/>
          </w:tcPr>
          <w:p>
            <w:pPr>
              <w:jc w:val="right"/>
              <w:ind w:right="130"/>
              <w:spacing w:after="0" w:line="17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320" w:type="dxa"/>
            <w:vAlign w:val="bottom"/>
          </w:tcPr>
          <w:p>
            <w:pPr>
              <w:jc w:val="right"/>
              <w:ind w:right="130"/>
              <w:spacing w:after="0" w:line="17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 w:right="300"/>
        <w:spacing w:after="0" w:line="231" w:lineRule="auto"/>
        <w:tabs>
          <w:tab w:leader="none" w:pos="264"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amounts not allocated to the business segments (including corporate costs) and reconciling items to reconcile the total business segments AEBITDA to our consolidated net loss from continuing operations before income taxes.</w:t>
      </w:r>
    </w:p>
    <w:p>
      <w:pPr>
        <w:spacing w:after="0" w:line="62" w:lineRule="exact"/>
        <w:rPr>
          <w:rFonts w:ascii="Arial" w:cs="Arial" w:eastAsia="Arial" w:hAnsi="Arial"/>
          <w:sz w:val="14"/>
          <w:szCs w:val="14"/>
          <w:color w:val="auto"/>
        </w:rPr>
      </w:pPr>
    </w:p>
    <w:p>
      <w:pPr>
        <w:ind w:left="260" w:hanging="200"/>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AEBITDA is described in footnote (2) to the first table in this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96" w:name="page97"/>
    <w:bookmarkEnd w:id="96"/>
    <w:tbl>
      <w:tblPr>
        <w:tblLayout w:type="fixed"/>
        <w:tblInd w:w="4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6"/>
                <w:szCs w:val="16"/>
                <w:b w:val="1"/>
                <w:bCs w:val="1"/>
                <w:color w:val="auto"/>
                <w:w w:val="91"/>
              </w:rPr>
              <w:t>Year Ended December 31, 2019</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Gaming</w:t>
            </w:r>
          </w:p>
        </w:tc>
        <w:tc>
          <w:tcPr>
            <w:tcW w:w="300" w:type="dxa"/>
            <w:vAlign w:val="bottom"/>
          </w:tcPr>
          <w:p>
            <w:pPr>
              <w:spacing w:after="0"/>
              <w:rPr>
                <w:sz w:val="13"/>
                <w:szCs w:val="13"/>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SciPlay</w:t>
            </w:r>
          </w:p>
        </w:tc>
        <w:tc>
          <w:tcPr>
            <w:tcW w:w="320" w:type="dxa"/>
            <w:vAlign w:val="bottom"/>
          </w:tcPr>
          <w:p>
            <w:pPr>
              <w:spacing w:after="0"/>
              <w:rPr>
                <w:sz w:val="13"/>
                <w:szCs w:val="13"/>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w w:val="96"/>
              </w:rPr>
              <w:t>iGaming</w:t>
            </w:r>
          </w:p>
        </w:tc>
        <w:tc>
          <w:tcPr>
            <w:tcW w:w="140" w:type="dxa"/>
            <w:vAlign w:val="bottom"/>
          </w:tcPr>
          <w:p>
            <w:pPr>
              <w:spacing w:after="0"/>
              <w:rPr>
                <w:sz w:val="13"/>
                <w:szCs w:val="13"/>
                <w:color w:val="auto"/>
              </w:rPr>
            </w:pPr>
          </w:p>
        </w:tc>
        <w:tc>
          <w:tcPr>
            <w:tcW w:w="14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0"/>
              </w:rPr>
              <w:t>Unallocated and</w:t>
            </w:r>
          </w:p>
        </w:tc>
        <w:tc>
          <w:tcPr>
            <w:tcW w:w="32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20" w:type="dxa"/>
            <w:vAlign w:val="bottom"/>
            <w:gridSpan w:val="3"/>
          </w:tcPr>
          <w:p>
            <w:pPr>
              <w:jc w:val="center"/>
              <w:ind w:right="140"/>
              <w:spacing w:after="0" w:line="216" w:lineRule="exact"/>
              <w:rPr>
                <w:sz w:val="20"/>
                <w:szCs w:val="20"/>
                <w:color w:val="auto"/>
              </w:rPr>
            </w:pPr>
            <w:r>
              <w:rPr>
                <w:rFonts w:ascii="Arial" w:cs="Arial" w:eastAsia="Arial" w:hAnsi="Arial"/>
                <w:sz w:val="16"/>
                <w:szCs w:val="16"/>
                <w:b w:val="1"/>
                <w:bCs w:val="1"/>
                <w:color w:val="auto"/>
                <w:w w:val="88"/>
              </w:rPr>
              <w:t>Reconciling Items</w:t>
            </w:r>
            <w:r>
              <w:rPr>
                <w:rFonts w:ascii="Arial" w:cs="Arial" w:eastAsia="Arial" w:hAnsi="Arial"/>
                <w:sz w:val="21"/>
                <w:szCs w:val="21"/>
                <w:b w:val="1"/>
                <w:bCs w:val="1"/>
                <w:color w:val="auto"/>
                <w:w w:val="88"/>
                <w:vertAlign w:val="superscript"/>
              </w:rPr>
              <w:t>(1)</w:t>
            </w:r>
          </w:p>
        </w:tc>
        <w:tc>
          <w:tcPr>
            <w:tcW w:w="3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line="243" w:lineRule="exact"/>
              <w:rPr>
                <w:sz w:val="20"/>
                <w:szCs w:val="20"/>
                <w:color w:val="auto"/>
              </w:rPr>
            </w:pPr>
            <w:r>
              <w:rPr>
                <w:rFonts w:ascii="Arial" w:cs="Arial" w:eastAsia="Arial" w:hAnsi="Arial"/>
                <w:sz w:val="18"/>
                <w:szCs w:val="18"/>
                <w:color w:val="auto"/>
              </w:rPr>
              <w:t>AEBITDA</w:t>
            </w:r>
            <w:r>
              <w:rPr>
                <w:rFonts w:ascii="Arial" w:cs="Arial" w:eastAsia="Arial" w:hAnsi="Arial"/>
                <w:sz w:val="23"/>
                <w:szCs w:val="23"/>
                <w:color w:val="auto"/>
                <w:vertAlign w:val="superscript"/>
              </w:rPr>
              <w:t>(2)(3)</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3"/>
        </w:trPr>
        <w:tc>
          <w:tcPr>
            <w:tcW w:w="6760" w:type="dxa"/>
            <w:vAlign w:val="bottom"/>
            <w:gridSpan w:val="8"/>
            <w:shd w:val="clear" w:color="auto" w:fill="CCEEFF"/>
          </w:tcPr>
          <w:p>
            <w:pPr>
              <w:ind w:left="20"/>
              <w:spacing w:after="0"/>
              <w:rPr>
                <w:sz w:val="20"/>
                <w:szCs w:val="20"/>
                <w:color w:val="auto"/>
              </w:rPr>
            </w:pPr>
            <w:r>
              <w:rPr>
                <w:rFonts w:ascii="Arial" w:cs="Arial" w:eastAsia="Arial" w:hAnsi="Arial"/>
                <w:sz w:val="18"/>
                <w:szCs w:val="18"/>
                <w:i w:val="1"/>
                <w:iCs w:val="1"/>
                <w:color w:val="auto"/>
                <w:w w:val="92"/>
              </w:rPr>
              <w:t>Reconciling items to consolidated Net loss from continuing operations before income taxes:</w:t>
            </w: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D&amp;A</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financing transactions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Gain on remeasurement of debt</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69"/>
        </w:trPr>
        <w:tc>
          <w:tcPr>
            <w:tcW w:w="32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4"/>
              </w:rPr>
              <w:t>Net loss from continuing operations before</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34"/>
              <w:spacing w:after="0" w:line="169"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8"/>
        </w:trPr>
        <w:tc>
          <w:tcPr>
            <w:tcW w:w="3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line="177" w:lineRule="exact"/>
              <w:rPr>
                <w:sz w:val="20"/>
                <w:szCs w:val="20"/>
                <w:color w:val="auto"/>
              </w:rPr>
            </w:pPr>
            <w:r>
              <w:rPr>
                <w:rFonts w:ascii="Arial" w:cs="Arial" w:eastAsia="Arial" w:hAnsi="Arial"/>
                <w:sz w:val="18"/>
                <w:szCs w:val="18"/>
                <w:color w:val="auto"/>
              </w:rPr>
              <w:t>Capital expenditures for the year ended</w:t>
            </w:r>
          </w:p>
        </w:tc>
        <w:tc>
          <w:tcPr>
            <w:tcW w:w="280" w:type="dxa"/>
            <w:vAlign w:val="bottom"/>
            <w:tcBorders>
              <w:top w:val="single" w:sz="8" w:color="CCEEFF"/>
              <w:bottom w:val="single" w:sz="8" w:color="CCEEFF"/>
            </w:tcBorders>
            <w:vMerge w:val="restart"/>
          </w:tcPr>
          <w:p>
            <w:pPr>
              <w:jc w:val="right"/>
              <w:ind w:right="90"/>
              <w:spacing w:after="0" w:line="177"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bottom w:val="single" w:sz="8" w:color="CCEEFF"/>
            </w:tcBorders>
            <w:vMerge w:val="restart"/>
          </w:tcPr>
          <w:p>
            <w:pPr>
              <w:jc w:val="right"/>
              <w:spacing w:after="0" w:line="177" w:lineRule="exact"/>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ind w:right="110"/>
              <w:spacing w:after="0" w:line="177"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vMerge w:val="restart"/>
          </w:tcPr>
          <w:p>
            <w:pPr>
              <w:jc w:val="right"/>
              <w:spacing w:after="0" w:line="177" w:lineRule="exact"/>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30"/>
              <w:spacing w:after="0" w:line="177"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bottom w:val="single" w:sz="8" w:color="CCEEFF"/>
            </w:tcBorders>
            <w:vMerge w:val="restart"/>
          </w:tcPr>
          <w:p>
            <w:pPr>
              <w:jc w:val="right"/>
              <w:spacing w:after="0" w:line="177" w:lineRule="exact"/>
              <w:rPr>
                <w:sz w:val="20"/>
                <w:szCs w:val="20"/>
                <w:color w:val="auto"/>
              </w:rPr>
            </w:pPr>
            <w:r>
              <w:rPr>
                <w:rFonts w:ascii="Arial" w:cs="Arial" w:eastAsia="Arial" w:hAnsi="Arial"/>
                <w:sz w:val="18"/>
                <w:szCs w:val="18"/>
                <w:color w:val="auto"/>
              </w:rPr>
              <w:t>26</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line="177"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bottom w:val="single" w:sz="8" w:color="CCEEFF"/>
            </w:tcBorders>
            <w:vMerge w:val="restart"/>
          </w:tcPr>
          <w:p>
            <w:pPr>
              <w:jc w:val="right"/>
              <w:spacing w:after="0" w:line="177" w:lineRule="exact"/>
              <w:rPr>
                <w:sz w:val="20"/>
                <w:szCs w:val="20"/>
                <w:color w:val="auto"/>
              </w:rPr>
            </w:pPr>
            <w:r>
              <w:rPr>
                <w:rFonts w:ascii="Arial" w:cs="Arial" w:eastAsia="Arial" w:hAnsi="Arial"/>
                <w:sz w:val="18"/>
                <w:szCs w:val="18"/>
                <w:color w:val="auto"/>
              </w:rPr>
              <w:t>22</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2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320" w:type="dxa"/>
            <w:vAlign w:val="bottom"/>
          </w:tcPr>
          <w:p>
            <w:pPr>
              <w:jc w:val="right"/>
              <w:ind w:right="134"/>
              <w:spacing w:after="0" w:line="138" w:lineRule="exact"/>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line="138" w:lineRule="exact"/>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221"/>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0" w:right="300"/>
        <w:spacing w:after="0" w:line="227" w:lineRule="auto"/>
        <w:tabs>
          <w:tab w:leader="none" w:pos="264"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amounts not allocated to the business segments (including corporate costs) and reconciling items to reconcile the total business segments AEBITDA to our consolidated net loss from continuing operations before income taxes.</w:t>
      </w:r>
    </w:p>
    <w:p>
      <w:pPr>
        <w:spacing w:after="0" w:line="7" w:lineRule="exact"/>
        <w:rPr>
          <w:rFonts w:ascii="Arial" w:cs="Arial" w:eastAsia="Arial" w:hAnsi="Arial"/>
          <w:sz w:val="14"/>
          <w:szCs w:val="14"/>
          <w:color w:val="auto"/>
        </w:rPr>
      </w:pPr>
    </w:p>
    <w:p>
      <w:pPr>
        <w:ind w:left="260" w:hanging="200"/>
        <w:spacing w:after="0"/>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AEBITDA is described in footnote (2) to the first table in this Note 3.</w:t>
      </w:r>
    </w:p>
    <w:p>
      <w:pPr>
        <w:spacing w:after="0" w:line="28" w:lineRule="exact"/>
        <w:rPr>
          <w:rFonts w:ascii="Arial" w:cs="Arial" w:eastAsia="Arial" w:hAnsi="Arial"/>
          <w:sz w:val="14"/>
          <w:szCs w:val="14"/>
          <w:color w:val="auto"/>
        </w:rPr>
      </w:pPr>
    </w:p>
    <w:p>
      <w:pPr>
        <w:ind w:left="60" w:right="180"/>
        <w:spacing w:after="0" w:line="236" w:lineRule="auto"/>
        <w:tabs>
          <w:tab w:leader="none" w:pos="26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year ended December 31, 2019 includes a charge of $10 million for intellectual property royalties paid by SciPlay to the Gaming business segment, which is no longer being paid as of May 7, 2019 in connection with the IP License Agreement described in Note 1.</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revenue by customer location and property and equipment by geographic location: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U.S.</w:t>
            </w: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1,551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23"/>
        </w:trPr>
        <w:tc>
          <w:tcPr>
            <w:tcW w:w="7020" w:type="dxa"/>
            <w:vAlign w:val="bottom"/>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r>
      <w:tr>
        <w:trPr>
          <w:trHeight w:val="20"/>
        </w:trPr>
        <w:tc>
          <w:tcPr>
            <w:tcW w:w="7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449"/>
        </w:trPr>
        <w:tc>
          <w:tcPr>
            <w:tcW w:w="7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70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U.S.</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7020" w:type="dxa"/>
            <w:vAlign w:val="bottom"/>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1"/>
        </w:trPr>
        <w:tc>
          <w:tcPr>
            <w:tcW w:w="7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our revenues by type within each of our business segments: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97" w:name="page98"/>
    <w:bookmarkEnd w:id="97"/>
    <w:tbl>
      <w:tblPr>
        <w:tblLayout w:type="fixed"/>
        <w:tblInd w:w="2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6"/>
                <w:szCs w:val="16"/>
                <w:b w:val="1"/>
                <w:bCs w:val="1"/>
                <w:color w:val="auto"/>
              </w:rPr>
              <w:t>Revenue recognized for Year Ended December 31,</w:t>
            </w: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gridSpan w:val="2"/>
          </w:tcPr>
          <w:p>
            <w:pPr>
              <w:ind w:left="960"/>
              <w:spacing w:after="0"/>
              <w:rPr>
                <w:sz w:val="20"/>
                <w:szCs w:val="20"/>
                <w:color w:val="auto"/>
              </w:rPr>
            </w:pPr>
            <w:r>
              <w:rPr>
                <w:rFonts w:ascii="Arial" w:cs="Arial" w:eastAsia="Arial" w:hAnsi="Arial"/>
                <w:sz w:val="16"/>
                <w:szCs w:val="16"/>
                <w:b w:val="1"/>
                <w:bCs w:val="1"/>
                <w:color w:val="auto"/>
              </w:rPr>
              <w:t>Revenue category</w:t>
            </w:r>
          </w:p>
        </w:tc>
        <w:tc>
          <w:tcPr>
            <w:tcW w:w="620" w:type="dxa"/>
            <w:vAlign w:val="bottom"/>
          </w:tcPr>
          <w:p>
            <w:pPr>
              <w:spacing w:after="0"/>
              <w:rPr>
                <w:sz w:val="18"/>
                <w:szCs w:val="18"/>
                <w:color w:val="auto"/>
              </w:rPr>
            </w:pPr>
          </w:p>
        </w:tc>
        <w:tc>
          <w:tcPr>
            <w:tcW w:w="1960" w:type="dxa"/>
            <w:vAlign w:val="bottom"/>
          </w:tcPr>
          <w:p>
            <w:pPr>
              <w:jc w:val="right"/>
              <w:ind w:right="105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jc w:val="right"/>
              <w:ind w:right="10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40" w:type="dxa"/>
            <w:vAlign w:val="bottom"/>
          </w:tcPr>
          <w:p>
            <w:pPr>
              <w:jc w:val="right"/>
              <w:ind w:right="10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31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Gaming</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Gaming operations</w:t>
            </w:r>
            <w:r>
              <w:rPr>
                <w:rFonts w:ascii="Arial" w:cs="Arial" w:eastAsia="Arial" w:hAnsi="Arial"/>
                <w:sz w:val="23"/>
                <w:szCs w:val="23"/>
                <w:color w:val="auto"/>
                <w:vertAlign w:val="superscript"/>
              </w:rPr>
              <w:t>(1)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3260" w:type="dxa"/>
            <w:vAlign w:val="bottom"/>
            <w:gridSpan w:val="2"/>
          </w:tcPr>
          <w:p>
            <w:pPr>
              <w:ind w:left="140"/>
              <w:spacing w:after="0"/>
              <w:rPr>
                <w:sz w:val="20"/>
                <w:szCs w:val="20"/>
                <w:color w:val="auto"/>
              </w:rPr>
            </w:pPr>
            <w:r>
              <w:rPr>
                <w:rFonts w:ascii="Arial" w:cs="Arial" w:eastAsia="Arial" w:hAnsi="Arial"/>
                <w:sz w:val="18"/>
                <w:szCs w:val="18"/>
                <w:color w:val="auto"/>
              </w:rPr>
              <w:t>Gaming machine sales</w:t>
            </w:r>
          </w:p>
        </w:tc>
        <w:tc>
          <w:tcPr>
            <w:tcW w:w="6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Gaming systems</w:t>
            </w:r>
          </w:p>
        </w:tc>
        <w:tc>
          <w:tcPr>
            <w:tcW w:w="6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Table products</w:t>
            </w:r>
          </w:p>
        </w:tc>
        <w:tc>
          <w:tcPr>
            <w:tcW w:w="6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SciPlay</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260" w:type="dxa"/>
            <w:vAlign w:val="bottom"/>
            <w:gridSpan w:val="2"/>
            <w:vMerge w:val="continue"/>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Mobile</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Web and other</w:t>
            </w:r>
          </w:p>
        </w:tc>
        <w:tc>
          <w:tcPr>
            <w:tcW w:w="6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iGaming</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260" w:type="dxa"/>
            <w:vAlign w:val="bottom"/>
            <w:gridSpan w:val="2"/>
            <w:vMerge w:val="continue"/>
          </w:tcPr>
          <w:p>
            <w:pPr>
              <w:spacing w:after="0"/>
              <w:rPr>
                <w:sz w:val="24"/>
                <w:szCs w:val="24"/>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4"/>
                <w:szCs w:val="24"/>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0" w:right="20" w:hanging="1"/>
        <w:spacing w:after="0" w:line="224" w:lineRule="auto"/>
        <w:tabs>
          <w:tab w:leader="none" w:pos="244" w:val="left"/>
        </w:tabs>
        <w:numPr>
          <w:ilvl w:val="0"/>
          <w:numId w:val="40"/>
        </w:numPr>
        <w:rPr>
          <w:rFonts w:ascii="Arial" w:cs="Arial" w:eastAsia="Arial" w:hAnsi="Arial"/>
          <w:sz w:val="14"/>
          <w:szCs w:val="14"/>
          <w:color w:val="auto"/>
        </w:rPr>
      </w:pPr>
      <w:r>
        <w:rPr>
          <w:rFonts w:ascii="Arial" w:cs="Arial" w:eastAsia="Arial" w:hAnsi="Arial"/>
          <w:sz w:val="14"/>
          <w:szCs w:val="14"/>
          <w:color w:val="auto"/>
        </w:rPr>
        <w:t>Gaming operations revenue for the year ended December 31, 2021 benefited from $44 million U.K. fixed odds betting terminals (“FOBT”) recovery received from certain U.K. customers for value-added tax charged on FOBTs (“FOBT recovery”) related to a 2020 U.K. court ruling associated with overcharging of value-added tax for gaming operators that consequently reduced our net gaming revenues in those affected prior periods related to these customers and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evaluate the recognition of revenue and rental income based on the criteria set forth in ASC 606 or ASC 842, as appropriate. Revenue is recognized net of incentive rebates and discounts when control of the promised goods or services is transferred to our customers, in an amount that reflects the consideration we expect to be entitled to in exchange for those goods or services. Sales taxes and all other items of a similar nature are excluded from the measurement of the transaction price and shipping and handling activities are treated as a fulfillment of our promise to transfer the goods, hence, included in cost of sales.</w:t>
      </w:r>
    </w:p>
    <w:p>
      <w:pPr>
        <w:spacing w:after="0" w:line="12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Our credit terms are predominately short term in nature. We also grant extended payment terms under certain Gaming contracts, with financing terms of more than 12 months, primarily where the sale is secured by the related equipment sold. For these contracts with customers for which the financing component is determined to be significant to the contract, and have financing terms of more than 12 months, the contract transaction price is adjusted for the effect of a financing component (time value of money).</w:t>
      </w:r>
    </w:p>
    <w:p>
      <w:pPr>
        <w:spacing w:after="0" w:line="10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Any sales commissions associated with the sale or placement of our products and services are expensed as incurred as contracts associated with sales commissions are generally completed within a one-year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 with Multiple Promised Goods and Services</w:t>
      </w:r>
    </w:p>
    <w:p>
      <w:pPr>
        <w:spacing w:after="0" w:line="158"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enter into contracts with customers that include multiple promises (such as gaming machines, gaming systems hardware and software, installation, service and maintenance, warranties, and maintenance bundled promises). For such contracts, the transaction price is allocated to each distinct performance obligation using an estimate of stand-alone selling price, which is generally based on observable prices or a cost plus margin approach. The establishment of stand-alone selling price requires judgment as to whether there is a sufficient quantity of items sold or substantively renewed on a stand-alone basis and those prices demonstrate an appropriate level of concentration to conclude that a stand-alone selling price exists.</w:t>
      </w:r>
    </w:p>
    <w:p>
      <w:pPr>
        <w:spacing w:after="0" w:line="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guidance in ASC 606 requires that we apply judgments or estimates to determine both the performance obligations and the stand-alone selling prices of identified performance obligations. Contracts with multiple promised goods and services described above will often involve significant judgment in determining whether each promise is distinct or should be combined with other promises in such contracts in concluding on the distinct performance obligations for such contracts. Such judgment generally requires an assessment of the level of integration and interdependency between individual components particularly in our gaming systems and certain digital contracts with customers. Associated with these same contracts, we also apply significant judgment to determine the stand-alone selling prices of the identified performance obligations.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Operations</w:t>
      </w:r>
    </w:p>
    <w:p>
      <w:pPr>
        <w:spacing w:after="0" w:line="15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Gaming operations revenues are generated by providing customers access to proprietary land-based gaming equipment and content, table game products and VLTs under a variety of recurring operating, service, or rental contracts, for which consideration is based upon a percentage of Coin-in, a percentage of Net win, or a fixed daily/monthly fee, with variability generally resolved in the reporting period. For these contracts with customers, we generally transfer control and recognize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6" w:right="359" w:bottom="1440" w:gutter="0" w:footer="0" w:header="0"/>
        </w:sectPr>
      </w:pPr>
    </w:p>
    <w:bookmarkStart w:id="98" w:name="page99"/>
    <w:bookmarkEnd w:id="98"/>
    <w:p>
      <w:pPr>
        <w:ind w:right="120"/>
        <w:spacing w:after="0" w:line="311" w:lineRule="auto"/>
        <w:rPr>
          <w:sz w:val="20"/>
          <w:szCs w:val="20"/>
          <w:color w:val="auto"/>
        </w:rPr>
      </w:pPr>
      <w:r>
        <w:rPr>
          <w:rFonts w:ascii="Arial" w:cs="Arial" w:eastAsia="Arial" w:hAnsi="Arial"/>
          <w:sz w:val="16"/>
          <w:szCs w:val="16"/>
          <w:color w:val="auto"/>
        </w:rPr>
        <w:t>revenue or rental income over time based on the amount we expect to receive as described and classify such revenue or rental income as services revenue. Payments from customers under these contracts are typically due on a monthly basis. Jackpot expense for our WAP services is recorded as a reduction to revenue, which decreased revenue by $27 million, $16 million, and $20 million for the years ended December 31, 2021, 2020, and 2019 respectively.</w:t>
      </w:r>
    </w:p>
    <w:p>
      <w:pPr>
        <w:spacing w:after="0" w:line="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amount of rental income revenue that is outside the scope of ASC 606 was $374 million, $209 million, and $373 million for the years ended December 31, 2021, 2020, and 2019,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Machine Sales</w:t>
      </w:r>
    </w:p>
    <w:p>
      <w:pPr>
        <w:spacing w:after="0" w:line="15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These contracts with customers include the sale of gaming machines, including game content, electronic table game products and parts (including game themes and conversion kits). We transfer control and recognize revenue from the sale of gaming machines at a point in time upon delivery of gaming machines to our customers or distributors pursuant to the terms of the contract.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Systems</w:t>
      </w:r>
    </w:p>
    <w:p>
      <w:pPr>
        <w:spacing w:after="0" w:line="144"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 xml:space="preserve">Gaming systems contracts with customers can include a comprehensive suite of technology solutions provided to gaming operators, including perpetual licenses to core system solutions and non-core system solutions and other applications and tools. Gaming systems products also include the </w:t>
      </w:r>
      <w:r>
        <w:rPr>
          <w:rFonts w:ascii="Arial" w:cs="Arial" w:eastAsia="Arial" w:hAnsi="Arial"/>
          <w:sz w:val="18"/>
          <w:szCs w:val="18"/>
          <w:i w:val="1"/>
          <w:iCs w:val="1"/>
          <w:color w:val="auto"/>
        </w:rPr>
        <w:t>iVIEW</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touch screen display, which facilitates the player experience, bonus features, customer service, and employee functions and ongoing hardware and</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maintenance services and upgrades.</w:t>
      </w:r>
    </w:p>
    <w:p>
      <w:pPr>
        <w:spacing w:after="0" w:line="134"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Determination of performance obligations and timing of the transfer of control varies by contract. Generally, these contracts contain multiple promised goods and services, including the following: (i) core system software license; (ii) non-core system software license(s); (iii) professional services; (iv) system-based hardware; (v) in-game hardware products; and (vi) software and hardware maintenance and product support.</w:t>
      </w:r>
    </w:p>
    <w:p>
      <w:pPr>
        <w:spacing w:after="0" w:line="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Control transfers and we recognize revenue from the sale of perpetual gaming systems licenses and various hardware products at a point in time when the gaming system is available for use by a customer which is no earlier than the commencement of the license term, and for the hardware products upon delivery. For contracts that include new core gaming system installations, control is not considered transferred until control of the core gaming system license is transferred as the additional promises are generally highly dependent on the core gaming system. Software and hardware maintenance and product support services are considered stand-ready obligations, therefore control transfers and revenue is recognized over time over the term of the maintenance and support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Products</w:t>
      </w:r>
    </w:p>
    <w:p>
      <w:pPr>
        <w:spacing w:after="0" w:line="15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Table products revenue is generated from supplying and maintaining or selling table game products, primarily including automatic card shufflers, deck checkers, table roulette chip sorters and other land-based table gaming equipment. We transfer control and recognize revenue from the sale of table products at a point in time upon delivery to our customers or distributors pursuant to the terms of the contract. For supply and maintenance contracts, for which consideration is primarily based on a fixed monthly fee, we generally transfer control and recognize rental income over the term of the supply period and classify such rental income as service revenue. Such contracts are generally short-term in nature. We also license our proprietary table games content, for which revenue is recognized at a point in time under the licensing of intellectual property guidance as such licenses are functional licenses or over time for subscription arrangements to our proprietary table games content library.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SciPlay</w:t>
      </w:r>
    </w:p>
    <w:p>
      <w:pPr>
        <w:spacing w:after="0" w:line="144"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SciPlay revenues are generated from the sale of virtual coins, chips and bingo cards (“coins, chips and cards”), which players can use to play casino</w:t>
      </w:r>
      <w:r>
        <w:rPr>
          <w:rFonts w:ascii="MS PGothic" w:cs="MS PGothic" w:eastAsia="MS PGothic" w:hAnsi="MS PGothic"/>
          <w:sz w:val="16"/>
          <w:szCs w:val="16"/>
          <w:color w:val="auto"/>
        </w:rPr>
        <w:t>‑</w:t>
      </w:r>
      <w:r>
        <w:rPr>
          <w:rFonts w:ascii="Arial" w:cs="Arial" w:eastAsia="Arial" w:hAnsi="Arial"/>
          <w:sz w:val="16"/>
          <w:szCs w:val="16"/>
          <w:color w:val="auto"/>
        </w:rPr>
        <w:t xml:space="preserve">style slot games, table games and bingo games (i.e., spin in the case of slot games, bet in the case of table games and use of bingo cards in the case of bingo games). SciPlay distributes its games through various global social web and mobile platforms such as </w:t>
      </w:r>
      <w:r>
        <w:rPr>
          <w:rFonts w:ascii="Arial" w:cs="Arial" w:eastAsia="Arial" w:hAnsi="Arial"/>
          <w:sz w:val="16"/>
          <w:szCs w:val="16"/>
          <w:i w:val="1"/>
          <w:iCs w:val="1"/>
          <w:color w:val="auto"/>
        </w:rPr>
        <w:t>Facebook</w:t>
      </w:r>
      <w:r>
        <w:rPr>
          <w:rFonts w:ascii="Arial" w:cs="Arial" w:eastAsia="Arial" w:hAnsi="Arial"/>
          <w:sz w:val="16"/>
          <w:szCs w:val="16"/>
          <w:color w:val="auto"/>
        </w:rPr>
        <w:t xml:space="preserve">, </w:t>
      </w:r>
      <w:r>
        <w:rPr>
          <w:rFonts w:ascii="Arial" w:cs="Arial" w:eastAsia="Arial" w:hAnsi="Arial"/>
          <w:sz w:val="16"/>
          <w:szCs w:val="16"/>
          <w:i w:val="1"/>
          <w:iCs w:val="1"/>
          <w:color w:val="auto"/>
        </w:rPr>
        <w:t>Apple</w:t>
      </w:r>
      <w:r>
        <w:rPr>
          <w:rFonts w:ascii="Arial" w:cs="Arial" w:eastAsia="Arial" w:hAnsi="Arial"/>
          <w:sz w:val="16"/>
          <w:szCs w:val="16"/>
          <w:color w:val="auto"/>
        </w:rPr>
        <w:t xml:space="preserve">, </w:t>
      </w:r>
      <w:r>
        <w:rPr>
          <w:rFonts w:ascii="Arial" w:cs="Arial" w:eastAsia="Arial" w:hAnsi="Arial"/>
          <w:sz w:val="16"/>
          <w:szCs w:val="16"/>
          <w:i w:val="1"/>
          <w:iCs w:val="1"/>
          <w:color w:val="auto"/>
        </w:rPr>
        <w:t>Google</w:t>
      </w:r>
      <w:r>
        <w:rPr>
          <w:rFonts w:ascii="Arial" w:cs="Arial" w:eastAsia="Arial" w:hAnsi="Arial"/>
          <w:sz w:val="16"/>
          <w:szCs w:val="16"/>
          <w:color w:val="auto"/>
        </w:rPr>
        <w:t xml:space="preserve"> and </w:t>
      </w:r>
      <w:r>
        <w:rPr>
          <w:rFonts w:ascii="Arial" w:cs="Arial" w:eastAsia="Arial" w:hAnsi="Arial"/>
          <w:sz w:val="16"/>
          <w:szCs w:val="16"/>
          <w:i w:val="1"/>
          <w:iCs w:val="1"/>
          <w:color w:val="auto"/>
        </w:rPr>
        <w:t>Amazon</w:t>
      </w:r>
      <w:r>
        <w:rPr>
          <w:rFonts w:ascii="Arial" w:cs="Arial" w:eastAsia="Arial" w:hAnsi="Arial"/>
          <w:sz w:val="16"/>
          <w:szCs w:val="16"/>
          <w:color w:val="auto"/>
        </w:rPr>
        <w:t xml:space="preserve">, with some of the games available on </w:t>
      </w:r>
      <w:r>
        <w:rPr>
          <w:rFonts w:ascii="Arial" w:cs="Arial" w:eastAsia="Arial" w:hAnsi="Arial"/>
          <w:sz w:val="16"/>
          <w:szCs w:val="16"/>
          <w:i w:val="1"/>
          <w:iCs w:val="1"/>
          <w:color w:val="auto"/>
        </w:rPr>
        <w:t>Microsoft</w:t>
      </w:r>
      <w:r>
        <w:rPr>
          <w:rFonts w:ascii="Arial" w:cs="Arial" w:eastAsia="Arial" w:hAnsi="Arial"/>
          <w:sz w:val="16"/>
          <w:szCs w:val="16"/>
          <w:color w:val="auto"/>
        </w:rPr>
        <w:t xml:space="preserve"> and other web and mobile platforms. Control transfers and SciPlay recognizes revenues from player purchases of coins, chips and cards as the coins, chips and cards are consumed for game play and cannot be redeemed nor exchanged for cash. SciPlay determined through a review of play behavior that game players generally do not purchase additional coins, chips and cards until their existing coins, chips and cards balances have been substantially consumed. As SciPlay is able to track the duration between purchases of coins, chips and cards for individual game players for specific games, SciPlay is able to reliably estimate the period of time over which coins, chips and cards are consumed. Accordingly, for most games, SciPlay recognizes revenue using an item-based revenue model. Because SciPlay has control over the content and functionality of games before they are accessed by the end user, SciPlay has determined it is the principal and, as a result, revenues are recorded on a gross basis.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9" w:name="page100"/>
    <w:bookmarkEnd w:id="99"/>
    <w:p>
      <w:pPr>
        <w:ind w:right="320"/>
        <w:spacing w:after="0" w:line="277" w:lineRule="auto"/>
        <w:rPr>
          <w:sz w:val="20"/>
          <w:szCs w:val="20"/>
          <w:color w:val="auto"/>
        </w:rPr>
      </w:pPr>
      <w:r>
        <w:rPr>
          <w:rFonts w:ascii="Arial" w:cs="Arial" w:eastAsia="Arial" w:hAnsi="Arial"/>
          <w:sz w:val="18"/>
          <w:szCs w:val="18"/>
          <w:color w:val="auto"/>
        </w:rPr>
        <w:t xml:space="preserve">Payment processing fees paid to platform providers (such as </w:t>
      </w:r>
      <w:r>
        <w:rPr>
          <w:rFonts w:ascii="Arial" w:cs="Arial" w:eastAsia="Arial" w:hAnsi="Arial"/>
          <w:sz w:val="18"/>
          <w:szCs w:val="18"/>
          <w:i w:val="1"/>
          <w:iCs w:val="1"/>
          <w:color w:val="auto"/>
        </w:rPr>
        <w:t>Facebook</w:t>
      </w:r>
      <w:r>
        <w:rPr>
          <w:rFonts w:ascii="Arial" w:cs="Arial" w:eastAsia="Arial" w:hAnsi="Arial"/>
          <w:sz w:val="18"/>
          <w:szCs w:val="18"/>
          <w:color w:val="auto"/>
        </w:rPr>
        <w:t xml:space="preserve">, </w:t>
      </w:r>
      <w:r>
        <w:rPr>
          <w:rFonts w:ascii="Arial" w:cs="Arial" w:eastAsia="Arial" w:hAnsi="Arial"/>
          <w:sz w:val="18"/>
          <w:szCs w:val="18"/>
          <w:i w:val="1"/>
          <w:iCs w:val="1"/>
          <w:color w:val="auto"/>
        </w:rPr>
        <w:t>Apple</w:t>
      </w:r>
      <w:r>
        <w:rPr>
          <w:rFonts w:ascii="Arial" w:cs="Arial" w:eastAsia="Arial" w:hAnsi="Arial"/>
          <w:sz w:val="18"/>
          <w:szCs w:val="18"/>
          <w:color w:val="auto"/>
        </w:rPr>
        <w:t xml:space="preserve">, </w:t>
      </w:r>
      <w:r>
        <w:rPr>
          <w:rFonts w:ascii="Arial" w:cs="Arial" w:eastAsia="Arial" w:hAnsi="Arial"/>
          <w:sz w:val="18"/>
          <w:szCs w:val="18"/>
          <w:i w:val="1"/>
          <w:iCs w:val="1"/>
          <w:color w:val="auto"/>
        </w:rPr>
        <w:t>Amazon</w:t>
      </w:r>
      <w:r>
        <w:rPr>
          <w:rFonts w:ascii="Arial" w:cs="Arial" w:eastAsia="Arial" w:hAnsi="Arial"/>
          <w:sz w:val="18"/>
          <w:szCs w:val="18"/>
          <w:color w:val="auto"/>
        </w:rPr>
        <w:t xml:space="preserve">, </w:t>
      </w:r>
      <w:r>
        <w:rPr>
          <w:rFonts w:ascii="Arial" w:cs="Arial" w:eastAsia="Arial" w:hAnsi="Arial"/>
          <w:sz w:val="18"/>
          <w:szCs w:val="18"/>
          <w:i w:val="1"/>
          <w:iCs w:val="1"/>
          <w:color w:val="auto"/>
        </w:rPr>
        <w:t>Google</w:t>
      </w:r>
      <w:r>
        <w:rPr>
          <w:rFonts w:ascii="Arial" w:cs="Arial" w:eastAsia="Arial" w:hAnsi="Arial"/>
          <w:sz w:val="18"/>
          <w:szCs w:val="18"/>
          <w:color w:val="auto"/>
        </w:rPr>
        <w:t xml:space="preserve"> and </w:t>
      </w:r>
      <w:r>
        <w:rPr>
          <w:rFonts w:ascii="Arial" w:cs="Arial" w:eastAsia="Arial" w:hAnsi="Arial"/>
          <w:sz w:val="18"/>
          <w:szCs w:val="18"/>
          <w:i w:val="1"/>
          <w:iCs w:val="1"/>
          <w:color w:val="auto"/>
        </w:rPr>
        <w:t>Microsoft</w:t>
      </w:r>
      <w:r>
        <w:rPr>
          <w:rFonts w:ascii="Arial" w:cs="Arial" w:eastAsia="Arial" w:hAnsi="Arial"/>
          <w:sz w:val="18"/>
          <w:szCs w:val="18"/>
          <w:color w:val="auto"/>
        </w:rPr>
        <w:t>) are recorded within cost of services. All SciPlay revenue is classified as services revenue.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iGaming</w:t>
      </w:r>
    </w:p>
    <w:p>
      <w:pPr>
        <w:spacing w:after="0" w:line="144"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iGaming revenue is generated from various content aggregation platforms, remote gaming servers, and various other platforms, which deliver a wide spectrum of internally developed and branded games and popular third-party provided games to gaming operators as well as platform technology solutions, which provide gaming operators optional portals for reporting and administrative functions. We provide daily access to these platforms and are typically compensated based on variable consideration, such as a percentage of net gaming revenue with variability generally resolved in the reporting period. All iGaming revenue is classified as services revenue.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 and Other Disclosures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in our contract liabilities for the reporting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Year Ended December 31, 2021</w:t>
            </w:r>
          </w:p>
        </w:tc>
      </w:tr>
      <w:tr>
        <w:trPr>
          <w:trHeight w:val="226"/>
        </w:trPr>
        <w:tc>
          <w:tcPr>
            <w:tcW w:w="78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Contract liability balance, beginning of period</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3040" w:type="dxa"/>
            <w:vAlign w:val="bottom"/>
            <w:shd w:val="clear" w:color="auto" w:fill="CCEEFF"/>
          </w:tcPr>
          <w:p>
            <w:pPr>
              <w:jc w:val="center"/>
              <w:ind w:left="2612"/>
              <w:spacing w:after="0"/>
              <w:rPr>
                <w:sz w:val="20"/>
                <w:szCs w:val="20"/>
                <w:color w:val="auto"/>
              </w:rPr>
            </w:pPr>
            <w:r>
              <w:rPr>
                <w:rFonts w:ascii="Arial" w:cs="Arial" w:eastAsia="Arial" w:hAnsi="Arial"/>
                <w:sz w:val="18"/>
                <w:szCs w:val="18"/>
                <w:color w:val="auto"/>
                <w:w w:val="89"/>
              </w:rPr>
              <w:t>27</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Liabilities recognized during the period</w:t>
            </w:r>
          </w:p>
        </w:tc>
        <w:tc>
          <w:tcPr>
            <w:tcW w:w="360" w:type="dxa"/>
            <w:vAlign w:val="bottom"/>
          </w:tcPr>
          <w:p>
            <w:pPr>
              <w:spacing w:after="0"/>
              <w:rPr>
                <w:sz w:val="19"/>
                <w:szCs w:val="19"/>
                <w:color w:val="auto"/>
              </w:rPr>
            </w:pPr>
          </w:p>
        </w:tc>
        <w:tc>
          <w:tcPr>
            <w:tcW w:w="3040" w:type="dxa"/>
            <w:vAlign w:val="bottom"/>
          </w:tcPr>
          <w:p>
            <w:pPr>
              <w:jc w:val="center"/>
              <w:ind w:left="2612"/>
              <w:spacing w:after="0"/>
              <w:rPr>
                <w:sz w:val="20"/>
                <w:szCs w:val="20"/>
                <w:color w:val="auto"/>
              </w:rPr>
            </w:pPr>
            <w:r>
              <w:rPr>
                <w:rFonts w:ascii="Arial" w:cs="Arial" w:eastAsia="Arial" w:hAnsi="Arial"/>
                <w:sz w:val="18"/>
                <w:szCs w:val="18"/>
                <w:color w:val="auto"/>
                <w:w w:val="89"/>
              </w:rPr>
              <w:t>31</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recognized in revenue from beginning balance</w:t>
            </w:r>
          </w:p>
        </w:tc>
        <w:tc>
          <w:tcPr>
            <w:tcW w:w="360" w:type="dxa"/>
            <w:vAlign w:val="bottom"/>
            <w:tcBorders>
              <w:bottom w:val="single" w:sz="8" w:color="auto"/>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center"/>
              <w:ind w:left="2612"/>
              <w:spacing w:after="0"/>
              <w:rPr>
                <w:sz w:val="20"/>
                <w:szCs w:val="20"/>
                <w:color w:val="auto"/>
              </w:rPr>
            </w:pPr>
            <w:r>
              <w:rPr>
                <w:rFonts w:ascii="Arial" w:cs="Arial" w:eastAsia="Arial" w:hAnsi="Arial"/>
                <w:sz w:val="18"/>
                <w:szCs w:val="18"/>
                <w:color w:val="auto"/>
                <w:w w:val="93"/>
              </w:rPr>
              <w:t>(21)</w:t>
            </w:r>
          </w:p>
        </w:tc>
      </w:tr>
      <w:tr>
        <w:trPr>
          <w:trHeight w:val="223"/>
        </w:trPr>
        <w:tc>
          <w:tcPr>
            <w:tcW w:w="7840" w:type="dxa"/>
            <w:vAlign w:val="bottom"/>
          </w:tcPr>
          <w:p>
            <w:pPr>
              <w:ind w:left="20"/>
              <w:spacing w:after="0" w:line="223" w:lineRule="exact"/>
              <w:rPr>
                <w:sz w:val="20"/>
                <w:szCs w:val="20"/>
                <w:color w:val="auto"/>
              </w:rPr>
            </w:pPr>
            <w:r>
              <w:rPr>
                <w:rFonts w:ascii="Arial" w:cs="Arial" w:eastAsia="Arial" w:hAnsi="Arial"/>
                <w:sz w:val="18"/>
                <w:szCs w:val="18"/>
                <w:color w:val="auto"/>
              </w:rPr>
              <w:t>Contract liability balance, end of period</w:t>
            </w:r>
            <w:r>
              <w:rPr>
                <w:rFonts w:ascii="Arial" w:cs="Arial" w:eastAsia="Arial" w:hAnsi="Arial"/>
                <w:sz w:val="23"/>
                <w:szCs w:val="23"/>
                <w:color w:val="auto"/>
                <w:vertAlign w:val="superscript"/>
              </w:rPr>
              <w:t>(1)</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3040" w:type="dxa"/>
            <w:vAlign w:val="bottom"/>
            <w:tcBorders>
              <w:bottom w:val="single" w:sz="8" w:color="auto"/>
            </w:tcBorders>
          </w:tcPr>
          <w:p>
            <w:pPr>
              <w:jc w:val="center"/>
              <w:ind w:left="2612"/>
              <w:spacing w:after="0"/>
              <w:rPr>
                <w:sz w:val="20"/>
                <w:szCs w:val="20"/>
                <w:color w:val="auto"/>
              </w:rPr>
            </w:pPr>
            <w:r>
              <w:rPr>
                <w:rFonts w:ascii="Arial" w:cs="Arial" w:eastAsia="Arial" w:hAnsi="Arial"/>
                <w:sz w:val="18"/>
                <w:szCs w:val="18"/>
                <w:color w:val="auto"/>
                <w:w w:val="89"/>
              </w:rPr>
              <w:t>37</w:t>
            </w: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Contract liabilities are included within Accrued liabilities and Other long-term liabilities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-89535</wp:posOffset>
            </wp:positionV>
            <wp:extent cx="21602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4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opening and closing balances in our receivables and contract 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Receivables</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Contract Assets</w:t>
            </w:r>
            <w:r>
              <w:rPr>
                <w:rFonts w:ascii="Arial" w:cs="Arial" w:eastAsia="Arial" w:hAnsi="Arial"/>
                <w:sz w:val="21"/>
                <w:szCs w:val="21"/>
                <w:b w:val="1"/>
                <w:bCs w:val="1"/>
                <w:color w:val="auto"/>
                <w:vertAlign w:val="superscript"/>
              </w:rPr>
              <w:t>(1)</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 of period balance, December 31, 2020</w:t>
            </w:r>
          </w:p>
        </w:tc>
        <w:tc>
          <w:tcPr>
            <w:tcW w:w="2020" w:type="dxa"/>
            <w:vAlign w:val="bottom"/>
            <w:shd w:val="clear" w:color="auto" w:fill="CCEEFF"/>
          </w:tcPr>
          <w:p>
            <w:pPr>
              <w:jc w:val="right"/>
              <w:ind w:right="181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End of period balance, December 31, 2021</w:t>
            </w:r>
          </w:p>
        </w:tc>
        <w:tc>
          <w:tcPr>
            <w:tcW w:w="2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Contract assets are included primarily within Prepaid expenses, deposits and other current assets in our consolidated balance sheets.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and other</w:t>
      </w:r>
    </w:p>
    <w:p>
      <w:pPr>
        <w:spacing w:after="0" w:line="16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Restructuring and other includes charges or expenses attributable to: (i) employee severance; (ii) management restructuring and related costs; (iii) restructuring and integration; (iv) cost savings initiatives; (v) major litigation; and (vi) acquisition related and other unusual items. The following table summarizes pre-tax restructuring and other costs for the periods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210"/>
        </w:trPr>
        <w:tc>
          <w:tcPr>
            <w:tcW w:w="45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8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2"/>
              <w:spacing w:after="0"/>
              <w:rPr>
                <w:sz w:val="20"/>
                <w:szCs w:val="20"/>
                <w:color w:val="auto"/>
              </w:rPr>
            </w:pPr>
            <w:r>
              <w:rPr>
                <w:rFonts w:ascii="Arial" w:cs="Arial" w:eastAsia="Arial" w:hAnsi="Arial"/>
                <w:sz w:val="16"/>
                <w:szCs w:val="16"/>
                <w:b w:val="1"/>
                <w:bCs w:val="1"/>
                <w:color w:val="auto"/>
              </w:rPr>
              <w:t>2019</w:t>
            </w:r>
          </w:p>
        </w:tc>
      </w:tr>
      <w:tr>
        <w:trPr>
          <w:trHeight w:val="226"/>
        </w:trPr>
        <w:tc>
          <w:tcPr>
            <w:tcW w:w="45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Employee severance and related</w:t>
            </w:r>
            <w:r>
              <w:rPr>
                <w:rFonts w:ascii="Arial" w:cs="Arial" w:eastAsia="Arial" w:hAnsi="Arial"/>
                <w:sz w:val="23"/>
                <w:szCs w:val="23"/>
                <w:color w:val="auto"/>
                <w:vertAlign w:val="superscript"/>
              </w:rPr>
              <w:t>(1)</w:t>
            </w:r>
          </w:p>
        </w:tc>
        <w:tc>
          <w:tcPr>
            <w:tcW w:w="1540" w:type="dxa"/>
            <w:vAlign w:val="bottom"/>
            <w:shd w:val="clear" w:color="auto" w:fill="CCEEFF"/>
          </w:tcPr>
          <w:p>
            <w:pPr>
              <w:jc w:val="right"/>
              <w:ind w:right="1333"/>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4500" w:type="dxa"/>
            <w:vAlign w:val="bottom"/>
          </w:tcPr>
          <w:p>
            <w:pPr>
              <w:ind w:left="20"/>
              <w:spacing w:after="0" w:line="230" w:lineRule="exact"/>
              <w:rPr>
                <w:sz w:val="20"/>
                <w:szCs w:val="20"/>
                <w:color w:val="auto"/>
              </w:rPr>
            </w:pPr>
            <w:r>
              <w:rPr>
                <w:rFonts w:ascii="Arial" w:cs="Arial" w:eastAsia="Arial" w:hAnsi="Arial"/>
                <w:sz w:val="18"/>
                <w:szCs w:val="18"/>
                <w:color w:val="auto"/>
              </w:rPr>
              <w:t>Strategic review and related</w:t>
            </w:r>
            <w:r>
              <w:rPr>
                <w:rFonts w:ascii="Arial" w:cs="Arial" w:eastAsia="Arial" w:hAnsi="Arial"/>
                <w:sz w:val="23"/>
                <w:szCs w:val="23"/>
                <w:color w:val="auto"/>
                <w:vertAlign w:val="superscript"/>
              </w:rPr>
              <w:t>(2)</w:t>
            </w:r>
          </w:p>
        </w:tc>
        <w:tc>
          <w:tcPr>
            <w:tcW w:w="1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and related (see Note 20)</w:t>
            </w: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integration and other</w:t>
            </w:r>
          </w:p>
        </w:tc>
        <w:tc>
          <w:tcPr>
            <w:tcW w:w="15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4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ind w:right="133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20" w:hanging="194"/>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year ended December 31, 2020 includes $29 million in severance and other benefits granted to employees as a result of COVID-19 related austerity measures.</w:t>
      </w:r>
    </w:p>
    <w:p>
      <w:pPr>
        <w:spacing w:after="0" w:line="28" w:lineRule="exact"/>
        <w:rPr>
          <w:rFonts w:ascii="Arial" w:cs="Arial" w:eastAsia="Arial" w:hAnsi="Arial"/>
          <w:sz w:val="14"/>
          <w:szCs w:val="14"/>
          <w:color w:val="auto"/>
        </w:rPr>
      </w:pPr>
    </w:p>
    <w:p>
      <w:pPr>
        <w:ind w:left="220" w:hanging="194"/>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costs associated with the Pending Divestitures as further described in Note 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Basic and Diluted Net Income (Loss) Per Share</w:t>
      </w:r>
    </w:p>
    <w:p>
      <w:pPr>
        <w:spacing w:after="0" w:line="16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Basic and diluted net income (loss) attributable to SGC per share is based upon net income (loss) attributable to SGC divided by the weighted average number of common shares outstanding during the period. Diluted earnings per share reflects the effect of the assumed exercise of stock options and RSUs only in the periods in which such effect would have been dilutive.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color w:val="auto"/>
        </w:rPr>
        <w:t>The below table presents a reconciliation of weighted average shares used in the calculation of basic and diluted earnings per share.</w:t>
      </w:r>
    </w:p>
    <w:p>
      <w:pPr>
        <w:spacing w:after="0" w:line="199"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Borders>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22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22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6"/>
                <w:szCs w:val="16"/>
                <w:b w:val="1"/>
                <w:bCs w:val="1"/>
                <w:color w:val="auto"/>
              </w:rPr>
              <w:t>2019</w:t>
            </w:r>
          </w:p>
        </w:tc>
      </w:tr>
      <w:tr>
        <w:trPr>
          <w:trHeight w:val="22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 average shares for basic earnings per share</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6000" w:type="dxa"/>
            <w:vAlign w:val="bottom"/>
            <w:gridSpan w:val="2"/>
          </w:tcPr>
          <w:p>
            <w:pPr>
              <w:ind w:left="140"/>
              <w:spacing w:after="0"/>
              <w:rPr>
                <w:sz w:val="20"/>
                <w:szCs w:val="20"/>
                <w:color w:val="auto"/>
              </w:rPr>
            </w:pPr>
            <w:r>
              <w:rPr>
                <w:rFonts w:ascii="Arial" w:cs="Arial" w:eastAsia="Arial" w:hAnsi="Arial"/>
                <w:sz w:val="18"/>
                <w:szCs w:val="18"/>
                <w:color w:val="auto"/>
              </w:rPr>
              <w:t>Stock options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RSUs</w:t>
            </w:r>
          </w:p>
        </w:tc>
        <w:tc>
          <w:tcPr>
            <w:tcW w:w="16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for diluted earnings per share</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43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excluded 2 million and 1 million stock options from the calculation of diluted weighted-average net loss attributable to SGC per share for the years ended December 31, 2020 and 2019, respectively, which would be anti-dilutive due to the net loss from continuing operations in those periods. In addition, we excluded 3 million RSUs from the calculation of diluted weighted-average net loss attributable to SGC per share for each of the years ended December 31, 2020 and 2019, which would be anti-dilutive due to the net loss from continuing operations in those periods.</w:t>
      </w:r>
    </w:p>
    <w:p>
      <w:pPr>
        <w:spacing w:after="0" w:line="100" w:lineRule="exact"/>
        <w:rPr>
          <w:sz w:val="20"/>
          <w:szCs w:val="20"/>
          <w:color w:val="auto"/>
        </w:rPr>
      </w:pPr>
    </w:p>
    <w:p>
      <w:pPr>
        <w:ind w:right="5180"/>
        <w:spacing w:after="0" w:line="417" w:lineRule="auto"/>
        <w:rPr>
          <w:sz w:val="20"/>
          <w:szCs w:val="20"/>
          <w:color w:val="auto"/>
        </w:rPr>
      </w:pPr>
      <w:r>
        <w:rPr>
          <w:rFonts w:ascii="Arial" w:cs="Arial" w:eastAsia="Arial" w:hAnsi="Arial"/>
          <w:sz w:val="18"/>
          <w:szCs w:val="18"/>
          <w:b w:val="1"/>
          <w:bCs w:val="1"/>
          <w:color w:val="auto"/>
        </w:rPr>
        <w:t xml:space="preserve">(7) Receivables, Allowance for Credit Losses and Credit Quality of Receivables </w:t>
      </w:r>
      <w:r>
        <w:rPr>
          <w:rFonts w:ascii="Arial" w:cs="Arial" w:eastAsia="Arial" w:hAnsi="Arial"/>
          <w:sz w:val="18"/>
          <w:szCs w:val="18"/>
          <w:i w:val="1"/>
          <w:iCs w:val="1"/>
          <w:color w:val="auto"/>
        </w:rPr>
        <w:t>Receivables</w:t>
      </w:r>
    </w:p>
    <w:p>
      <w:pPr>
        <w:ind w:right="100" w:firstLine="648"/>
        <w:spacing w:after="0" w:line="288" w:lineRule="auto"/>
        <w:rPr>
          <w:sz w:val="20"/>
          <w:szCs w:val="20"/>
          <w:color w:val="auto"/>
        </w:rPr>
      </w:pPr>
      <w:r>
        <w:rPr>
          <w:rFonts w:ascii="Arial" w:cs="Arial" w:eastAsia="Arial" w:hAnsi="Arial"/>
          <w:sz w:val="16"/>
          <w:szCs w:val="16"/>
          <w:color w:val="auto"/>
        </w:rPr>
        <w:t>Receivables are recorded at the invoiced amount less allowance for credit losses and imputed interest, if any. For a portion of our receivables, we have provided extended payment terms with installment payment terms greater than 12 months and in certain international jurisdictions up to 36 months. We have a total of $67 million in gross receivables with extended payment terms as of December 31, 2021. Interest income, if any, is recognized ratably over the life of the receivable, and any related fees or costs to establish the receivables are charged to selling, general and administrative expense as incurred, as they are immaterial. Actual or imputed interest, if any, is determined based on current market rates at the time the receivables with extended payment terms originated and is recorded ratably over the payment period, which approximates the effective interest method. We generally impute interest income on all receivables with payment terms greater than one year that do not contain a stated interest rate. Our general policy is to recognize interest on receivables until a receivable is deemed non-performing, which we define as payments being overdue by 180 days beyond the agreed-upon terms. When a receivable is deemed to be non-performing, the item is placed on non-accrual status and interest income is recognized on a cash basis. Accrued interest, non-performing receivables and interest income were immaterial for all periods presented.</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current and long-term receivables, net: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8"/>
              </w:rPr>
              <w:t>As of December 31,</w:t>
            </w:r>
          </w:p>
        </w:tc>
        <w:tc>
          <w:tcPr>
            <w:tcW w:w="960" w:type="dxa"/>
            <w:vAlign w:val="bottom"/>
            <w:tcBorders>
              <w:bottom w:val="single" w:sz="8" w:color="auto"/>
            </w:tcBorders>
          </w:tcPr>
          <w:p>
            <w:pPr>
              <w:spacing w:after="0"/>
              <w:rPr>
                <w:sz w:val="18"/>
                <w:szCs w:val="18"/>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9"/>
              </w:rPr>
              <w:t>2020</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Receivables</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 for credit losses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Current receivables, net</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Long-term:</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Receivables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 for credit losses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Long-term receivables, net</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receivables, net</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44"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receivables allowance for credit losses is our best estimate of the amount of expected credit losses in our existing receivables over the contractual term. We evaluate our exposure to credit loss on both a collective and individual basis. We evaluate such receivables on a geographic basis and take into account any relevant available information, which begins with historical credit loss experience and consideration of current and expected conditions and market trends (such as general economic conditions, other microeconomic and macroeconomic considerations, etc.) and reasonable and supportable forecasts that could impact the collectability of such receivables over the contractual term individually or in the aggregate. Changes 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circumstances relating to these factors may result in the need to increase or decrease our allowance for credit losses in the future.</w:t>
      </w:r>
    </w:p>
    <w:p>
      <w:pPr>
        <w:spacing w:after="0" w:line="15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manage our receivable portfolios using both geography and delinquency as key credit quality indicators. The following table summarizes geographical delinquencies of total receivables, net: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Pr>
          <w:p>
            <w:pPr>
              <w:spacing w:after="0"/>
              <w:rPr>
                <w:sz w:val="13"/>
                <w:szCs w:val="13"/>
                <w:color w:val="auto"/>
              </w:rPr>
            </w:pPr>
          </w:p>
        </w:tc>
        <w:tc>
          <w:tcPr>
            <w:tcW w:w="17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88"/>
              </w:rPr>
              <w:t>Balances over 90 days</w:t>
            </w:r>
          </w:p>
        </w:tc>
        <w:tc>
          <w:tcPr>
            <w:tcW w:w="180" w:type="dxa"/>
            <w:vAlign w:val="bottom"/>
          </w:tcPr>
          <w:p>
            <w:pPr>
              <w:spacing w:after="0"/>
              <w:rPr>
                <w:sz w:val="13"/>
                <w:szCs w:val="13"/>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Pr>
          <w:p>
            <w:pPr>
              <w:spacing w:after="0"/>
              <w:rPr>
                <w:sz w:val="13"/>
                <w:szCs w:val="13"/>
                <w:color w:val="auto"/>
              </w:rPr>
            </w:pPr>
          </w:p>
        </w:tc>
        <w:tc>
          <w:tcPr>
            <w:tcW w:w="1660" w:type="dxa"/>
            <w:vAlign w:val="bottom"/>
          </w:tcPr>
          <w:p>
            <w:pPr>
              <w:jc w:val="right"/>
              <w:ind w:right="52"/>
              <w:spacing w:after="0" w:line="158" w:lineRule="exact"/>
              <w:rPr>
                <w:sz w:val="20"/>
                <w:szCs w:val="20"/>
                <w:color w:val="auto"/>
              </w:rPr>
            </w:pPr>
            <w:r>
              <w:rPr>
                <w:rFonts w:ascii="Arial" w:cs="Arial" w:eastAsia="Arial" w:hAnsi="Arial"/>
                <w:sz w:val="16"/>
                <w:szCs w:val="16"/>
                <w:b w:val="1"/>
                <w:bCs w:val="1"/>
                <w:color w:val="auto"/>
                <w:w w:val="87"/>
              </w:rPr>
              <w:t>Balances over 90 days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past due</w:t>
            </w:r>
          </w:p>
        </w:tc>
        <w:tc>
          <w:tcPr>
            <w:tcW w:w="1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512"/>
              <w:spacing w:after="0"/>
              <w:rPr>
                <w:sz w:val="20"/>
                <w:szCs w:val="20"/>
                <w:color w:val="auto"/>
              </w:rPr>
            </w:pPr>
            <w:r>
              <w:rPr>
                <w:rFonts w:ascii="Arial" w:cs="Arial" w:eastAsia="Arial" w:hAnsi="Arial"/>
                <w:sz w:val="16"/>
                <w:szCs w:val="16"/>
                <w:b w:val="1"/>
                <w:bCs w:val="1"/>
                <w:color w:val="auto"/>
              </w:rPr>
              <w:t>past due</w:t>
            </w:r>
          </w:p>
        </w:tc>
        <w:tc>
          <w:tcPr>
            <w:tcW w:w="0" w:type="dxa"/>
            <w:vAlign w:val="bottom"/>
          </w:tcPr>
          <w:p>
            <w:pPr>
              <w:spacing w:after="0"/>
              <w:rPr>
                <w:sz w:val="1"/>
                <w:szCs w:val="1"/>
                <w:color w:val="auto"/>
              </w:rPr>
            </w:pP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20"/>
              <w:spacing w:after="0"/>
              <w:rPr>
                <w:sz w:val="20"/>
                <w:szCs w:val="20"/>
                <w:color w:val="auto"/>
              </w:rPr>
            </w:pPr>
            <w:r>
              <w:rPr>
                <w:rFonts w:ascii="Arial" w:cs="Arial" w:eastAsia="Arial" w:hAnsi="Arial"/>
                <w:sz w:val="18"/>
                <w:szCs w:val="18"/>
                <w:color w:val="auto"/>
              </w:rPr>
              <w:t>U.S. and Canada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ind w:left="12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ind w:left="122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3880" w:type="dxa"/>
            <w:vAlign w:val="bottom"/>
          </w:tcPr>
          <w:p>
            <w:pPr>
              <w:ind w:left="460"/>
              <w:spacing w:after="0"/>
              <w:rPr>
                <w:sz w:val="20"/>
                <w:szCs w:val="20"/>
                <w:color w:val="auto"/>
              </w:rPr>
            </w:pPr>
            <w:r>
              <w:rPr>
                <w:rFonts w:ascii="Arial" w:cs="Arial" w:eastAsia="Arial" w:hAnsi="Arial"/>
                <w:sz w:val="18"/>
                <w:szCs w:val="18"/>
                <w:color w:val="auto"/>
              </w:rPr>
              <w:t>Total receivables</w:t>
            </w:r>
          </w:p>
        </w:tc>
        <w:tc>
          <w:tcPr>
            <w:tcW w:w="160" w:type="dxa"/>
            <w:vAlign w:val="bottom"/>
          </w:tcPr>
          <w:p>
            <w:pPr>
              <w:spacing w:after="0"/>
              <w:rPr>
                <w:sz w:val="19"/>
                <w:szCs w:val="19"/>
                <w:color w:val="auto"/>
              </w:rPr>
            </w:pPr>
          </w:p>
        </w:tc>
        <w:tc>
          <w:tcPr>
            <w:tcW w:w="1580" w:type="dxa"/>
            <w:vAlign w:val="bottom"/>
          </w:tcPr>
          <w:p>
            <w:pPr>
              <w:ind w:left="124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ind w:left="122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Receivables allowance</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and Canada</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3"/>
              </w:rPr>
              <w:t>(18)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3"/>
              </w:rPr>
              <w:t>(43)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w w:val="93"/>
              </w:rPr>
              <w:t>(36)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93"/>
              </w:rPr>
              <w:t>(38)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receivables allowance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3"/>
              </w:rPr>
              <w:t>(54)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3"/>
              </w:rPr>
              <w:t>(81)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Account balances are charged against the allowances after all internal and external collection efforts have been exhausted and the potential for recovery is considered remote.</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in our allowance for receivable credit losses for each of the years ended December 31, 2021 and 2020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0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2020</w:t>
            </w:r>
          </w:p>
        </w:tc>
      </w:tr>
      <w:tr>
        <w:trPr>
          <w:trHeight w:val="210"/>
        </w:trPr>
        <w:tc>
          <w:tcPr>
            <w:tcW w:w="48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U.S and Canada</w:t>
            </w:r>
          </w:p>
        </w:tc>
        <w:tc>
          <w:tcPr>
            <w:tcW w:w="200" w:type="dxa"/>
            <w:vAlign w:val="bottom"/>
          </w:tcPr>
          <w:p>
            <w:pPr>
              <w:spacing w:after="0"/>
              <w:rPr>
                <w:sz w:val="18"/>
                <w:szCs w:val="18"/>
                <w:color w:val="auto"/>
              </w:rPr>
            </w:pPr>
          </w:p>
        </w:tc>
        <w:tc>
          <w:tcPr>
            <w:tcW w:w="1300" w:type="dxa"/>
            <w:vAlign w:val="bottom"/>
          </w:tcPr>
          <w:p>
            <w:pPr>
              <w:jc w:val="right"/>
              <w:ind w:right="212"/>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ind w:left="240"/>
              <w:spacing w:after="0"/>
              <w:rPr>
                <w:sz w:val="20"/>
                <w:szCs w:val="20"/>
                <w:color w:val="auto"/>
              </w:rPr>
            </w:pPr>
            <w:r>
              <w:rPr>
                <w:rFonts w:ascii="Arial" w:cs="Arial" w:eastAsia="Arial" w:hAnsi="Arial"/>
                <w:sz w:val="16"/>
                <w:szCs w:val="16"/>
                <w:b w:val="1"/>
                <w:bCs w:val="1"/>
                <w:color w:val="auto"/>
              </w:rPr>
              <w:t>Total</w:t>
            </w:r>
          </w:p>
        </w:tc>
      </w:tr>
      <w:tr>
        <w:trPr>
          <w:trHeight w:val="226"/>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allowance for credit losses</w:t>
            </w: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3"/>
              </w:rPr>
              <w:t>(37)</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Provision</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773"/>
              <w:spacing w:after="0"/>
              <w:rPr>
                <w:sz w:val="20"/>
                <w:szCs w:val="20"/>
                <w:color w:val="auto"/>
              </w:rPr>
            </w:pPr>
            <w:r>
              <w:rPr>
                <w:rFonts w:ascii="Arial" w:cs="Arial" w:eastAsia="Arial" w:hAnsi="Arial"/>
                <w:sz w:val="18"/>
                <w:szCs w:val="18"/>
                <w:color w:val="auto"/>
                <w:w w:val="93"/>
              </w:rPr>
              <w:t>(56)</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 and recoveries</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12</w:t>
            </w: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Allowance for credit losses as of December 31</w:t>
            </w: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center"/>
              <w:ind w:left="773"/>
              <w:spacing w:after="0"/>
              <w:rPr>
                <w:sz w:val="20"/>
                <w:szCs w:val="20"/>
                <w:color w:val="auto"/>
              </w:rPr>
            </w:pPr>
            <w:r>
              <w:rPr>
                <w:rFonts w:ascii="Arial" w:cs="Arial" w:eastAsia="Arial" w:hAnsi="Arial"/>
                <w:sz w:val="18"/>
                <w:szCs w:val="18"/>
                <w:color w:val="auto"/>
                <w:w w:val="93"/>
              </w:rPr>
              <w:t>(81)</w:t>
            </w:r>
          </w:p>
        </w:tc>
      </w:tr>
      <w:tr>
        <w:trPr>
          <w:trHeight w:val="20"/>
        </w:trPr>
        <w:tc>
          <w:tcPr>
            <w:tcW w:w="4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260" w:firstLine="648"/>
        <w:spacing w:after="0" w:line="422" w:lineRule="auto"/>
        <w:rPr>
          <w:sz w:val="20"/>
          <w:szCs w:val="20"/>
          <w:color w:val="auto"/>
        </w:rPr>
      </w:pPr>
      <w:r>
        <w:rPr>
          <w:rFonts w:ascii="Arial" w:cs="Arial" w:eastAsia="Arial" w:hAnsi="Arial"/>
          <w:sz w:val="18"/>
          <w:szCs w:val="18"/>
          <w:color w:val="auto"/>
        </w:rPr>
        <w:t xml:space="preserve">At December 31, 2021, 13% of our total receivables, net, were past due by over 90 days compared to 18% at December 31, 2020. </w:t>
      </w:r>
      <w:r>
        <w:rPr>
          <w:rFonts w:ascii="Arial" w:cs="Arial" w:eastAsia="Arial" w:hAnsi="Arial"/>
          <w:sz w:val="18"/>
          <w:szCs w:val="18"/>
          <w:i w:val="1"/>
          <w:iCs w:val="1"/>
          <w:color w:val="auto"/>
        </w:rPr>
        <w:t>Credit Quality of Receivables</w:t>
      </w:r>
    </w:p>
    <w:p>
      <w:pPr>
        <w:spacing w:after="0" w:line="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our Gaming machine sales business, we file UCC-1 financing statements domestically in order to retain a security interest in the gaming machines that underlie a significant portion of our domestic receivables until the receivable balance is fully paid. However, the value of the gaming machines, if repossessed, may be less than the balance of the outstanding receivable. For international customers, depending on the country and our historic collection experience with the customer, we may obtain pledge agreements, bills of exchange, guarantees, post-dated checks or other forms of security agreements designed to enhance our ability to collect the receivables, although a majority of our international receivables do not have these features. In our Gaming operations business, because we own the Participation gaming machines that are leased or otherwise provided to the customer, in a bankruptcy the customer has to generally either accept or reject the lease or other agreement and, if rejected, our gaming machines are returned to us. Our receivables related to revenue earned on Participation gaming machines and all other revenue sources are typically unsecured claims.</w:t>
      </w:r>
    </w:p>
    <w:p>
      <w:pPr>
        <w:spacing w:after="0" w:line="8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Due to the significance of our gaming machines to the ongoing operations of our casino customers, we may be designated as a key vendor in any bankruptcy filing by a casino customer, which can enhance our position above other creditors in the bankruptcy. Due to our successful collection experience and our continuing relationship with casino customers and their businesses, it is infrequent that we repossess gaming machines from a customer in partial settlement of outstanding receivable balances. In those unusual instances where repossession occurs to mitigate our exposure on the related receivable, the repossessed gaming machines are subsequently resold in the used gaming machine market; however, we may not fully recover the receivable from this re-sale.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2" w:name="page103"/>
    <w:bookmarkEnd w:id="102"/>
    <w:p>
      <w:pPr>
        <w:ind w:right="40" w:firstLine="648"/>
        <w:spacing w:after="0" w:line="257" w:lineRule="auto"/>
        <w:rPr>
          <w:sz w:val="20"/>
          <w:szCs w:val="20"/>
          <w:color w:val="auto"/>
        </w:rPr>
      </w:pPr>
      <w:r>
        <w:rPr>
          <w:rFonts w:ascii="Arial" w:cs="Arial" w:eastAsia="Arial" w:hAnsi="Arial"/>
          <w:sz w:val="18"/>
          <w:szCs w:val="18"/>
          <w:color w:val="auto"/>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in the Latin America region (“LATAM”) and are primarily comprised of Mexico, Peru and Argentina. The following table summarizes our LATAM receivables: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9"/>
              </w:rPr>
              <w:t>As of</w:t>
            </w: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1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December 31, 2021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Current or Not Yet Due</w:t>
            </w:r>
          </w:p>
        </w:tc>
        <w:tc>
          <w:tcPr>
            <w:tcW w:w="140" w:type="dxa"/>
            <w:vAlign w:val="bottom"/>
          </w:tcPr>
          <w:p>
            <w:pPr>
              <w:spacing w:after="0"/>
              <w:rPr>
                <w:sz w:val="13"/>
                <w:szCs w:val="13"/>
                <w:color w:val="auto"/>
              </w:rPr>
            </w:pPr>
          </w:p>
        </w:tc>
        <w:tc>
          <w:tcPr>
            <w:tcW w:w="2080" w:type="dxa"/>
            <w:vAlign w:val="bottom"/>
          </w:tcPr>
          <w:p>
            <w:pPr>
              <w:jc w:val="center"/>
              <w:ind w:right="54"/>
              <w:spacing w:after="0" w:line="158" w:lineRule="exact"/>
              <w:rPr>
                <w:sz w:val="20"/>
                <w:szCs w:val="20"/>
                <w:color w:val="auto"/>
              </w:rPr>
            </w:pPr>
            <w:r>
              <w:rPr>
                <w:rFonts w:ascii="Arial" w:cs="Arial" w:eastAsia="Arial" w:hAnsi="Arial"/>
                <w:sz w:val="16"/>
                <w:szCs w:val="16"/>
                <w:b w:val="1"/>
                <w:bCs w:val="1"/>
                <w:color w:val="auto"/>
                <w:w w:val="89"/>
              </w:rPr>
              <w:t>Balances Over 90 days Past</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jc w:val="center"/>
              <w:ind w:right="34"/>
              <w:spacing w:after="0"/>
              <w:rPr>
                <w:sz w:val="20"/>
                <w:szCs w:val="20"/>
                <w:color w:val="auto"/>
              </w:rPr>
            </w:pPr>
            <w:r>
              <w:rPr>
                <w:rFonts w:ascii="Arial" w:cs="Arial" w:eastAsia="Arial" w:hAnsi="Arial"/>
                <w:sz w:val="16"/>
                <w:szCs w:val="16"/>
                <w:b w:val="1"/>
                <w:bCs w:val="1"/>
                <w:color w:val="auto"/>
                <w:w w:val="92"/>
              </w:rPr>
              <w:t>Due</w:t>
            </w:r>
          </w:p>
        </w:tc>
        <w:tc>
          <w:tcPr>
            <w:tcW w:w="0" w:type="dxa"/>
            <w:vAlign w:val="bottom"/>
          </w:tcPr>
          <w:p>
            <w:pPr>
              <w:spacing w:after="0"/>
              <w:rPr>
                <w:sz w:val="1"/>
                <w:szCs w:val="1"/>
                <w:color w:val="auto"/>
              </w:rPr>
            </w:pPr>
          </w:p>
        </w:tc>
      </w:tr>
      <w:tr>
        <w:trPr>
          <w:trHeight w:val="22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1820" w:type="dxa"/>
            <w:vAlign w:val="bottom"/>
            <w:tcBorders>
              <w:top w:val="single" w:sz="8" w:color="auto"/>
            </w:tcBorders>
            <w:shd w:val="clear" w:color="auto" w:fill="CCEEFF"/>
          </w:tcPr>
          <w:p>
            <w:pPr>
              <w:jc w:val="right"/>
              <w:ind w:right="161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center"/>
              <w:ind w:left="1594"/>
              <w:spacing w:after="0"/>
              <w:rPr>
                <w:sz w:val="20"/>
                <w:szCs w:val="20"/>
                <w:color w:val="auto"/>
              </w:rPr>
            </w:pPr>
            <w:r>
              <w:rPr>
                <w:rFonts w:ascii="Arial" w:cs="Arial" w:eastAsia="Arial" w:hAnsi="Arial"/>
                <w:sz w:val="18"/>
                <w:szCs w:val="18"/>
                <w:color w:val="auto"/>
                <w:w w:val="89"/>
              </w:rPr>
              <w:t>45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center"/>
              <w:ind w:left="1654"/>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left="1554"/>
              <w:spacing w:after="0"/>
              <w:rPr>
                <w:sz w:val="20"/>
                <w:szCs w:val="20"/>
                <w:color w:val="auto"/>
              </w:rPr>
            </w:pPr>
            <w:r>
              <w:rPr>
                <w:rFonts w:ascii="Arial" w:cs="Arial" w:eastAsia="Arial" w:hAnsi="Arial"/>
                <w:sz w:val="18"/>
                <w:szCs w:val="18"/>
                <w:color w:val="auto"/>
                <w:w w:val="93"/>
              </w:rPr>
              <w:t>(17)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center"/>
              <w:ind w:left="1654"/>
              <w:spacing w:after="0"/>
              <w:rPr>
                <w:sz w:val="20"/>
                <w:szCs w:val="20"/>
                <w:color w:val="auto"/>
              </w:rPr>
            </w:pPr>
            <w:r>
              <w:rPr>
                <w:rFonts w:ascii="Arial" w:cs="Arial" w:eastAsia="Arial" w:hAnsi="Arial"/>
                <w:sz w:val="18"/>
                <w:szCs w:val="18"/>
                <w:color w:val="auto"/>
                <w:w w:val="93"/>
              </w:rPr>
              <w:t>(21)</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820" w:type="dxa"/>
            <w:vAlign w:val="bottom"/>
            <w:tcBorders>
              <w:bottom w:val="single" w:sz="8" w:color="auto"/>
            </w:tcBorders>
            <w:shd w:val="clear" w:color="auto" w:fill="CCEEFF"/>
          </w:tcPr>
          <w:p>
            <w:pPr>
              <w:jc w:val="right"/>
              <w:ind w:right="161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center"/>
              <w:ind w:left="1594"/>
              <w:spacing w:after="0"/>
              <w:rPr>
                <w:sz w:val="20"/>
                <w:szCs w:val="20"/>
                <w:color w:val="auto"/>
              </w:rPr>
            </w:pPr>
            <w:r>
              <w:rPr>
                <w:rFonts w:ascii="Arial" w:cs="Arial" w:eastAsia="Arial" w:hAnsi="Arial"/>
                <w:sz w:val="18"/>
                <w:szCs w:val="18"/>
                <w:color w:val="auto"/>
                <w:w w:val="89"/>
              </w:rPr>
              <w:t>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center"/>
              <w:ind w:left="1654"/>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Allowance for Credit Loss Charges</w:t>
      </w:r>
    </w:p>
    <w:p>
      <w:pPr>
        <w:spacing w:after="0" w:line="15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increased our allowance for credit losses by $56 million for the year ended December 31, 2020. The increase during 2020 was primarily related to certain Gaming customers in LATAM (which transact with both domestic and international subsidiaries) as those customers were particularly affected by macroeconomic factors exacerbated by COVID-19 and extended COVID-19 closures of gaming operations establishments with COVID-related closures lasting longer than in other geographic regions. As noted above, we have concentrations of receivables in LATAM, where customers generally take longer to pay us than those from other geographies and late payments continued to persist through 2020, in which we collected substantially less compared to historical quarterly collections primarily due to the factors noted above. In addition, customers in this region expect and have often been granted extended payment terms, as described above, which increases our risk of collections. Our customers in LATAM have been and may continue to be negatively affected by the factors noted above. Our policy is to continuously review receivables and as information concerning credit quality arises, we reassess our expectations of future losses. If such losses exceed our existing allowance for credit losses we record an incremental reserve at that time. Our current allowance for credit losses represents our current expectation of credit losses; however future expectations could change as the ultimate impact of the COVID-19 disruption remains uncertain, particularly as to the financial stability of our customers during and after the COVID-19 disruption period.</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material changes to our allowance for credit losses for the year ended December 31, 2021.</w:t>
      </w:r>
    </w:p>
    <w:p>
      <w:pPr>
        <w:spacing w:after="0" w:line="158"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The fair value of receivables is estimated by discounting expected future cash flows using current interest rates at which similar loans would be made to borrowers with similar credit ratings and remaining maturities. As of December 31, 2021 and December 31, 2020, the fair value of receivables, net, approximated the carrying value due to contractual terms of receivables generally being less than 24 months.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14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Inventories are stated at the lower of cost or net realizable value. Cost is determined on the first-in, first-out or weighted moving average method. Our inventory primarily consists of gaming machines and table products for sale and related parts. We determine the lower of cost or net realizable value of our inventory based on estimates of potentially excess and obsolete inventories after considering historical and forecasted demand and average selling prices. Our policy is to continuously review and assess the value of our inventory, especially during the COVID-19 disruption period, which in 2020 led to a significant decline in demand for our gaming units due to customers delaying or reducing their capital expenditures. We continuously monitor demand, assess our internal outlook and rationalize our product roadmap, all of which could result in recording adjustments to the valuation of inventory.</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As of December 31,</w:t>
            </w:r>
          </w:p>
        </w:tc>
        <w:tc>
          <w:tcPr>
            <w:tcW w:w="440" w:type="dxa"/>
            <w:vAlign w:val="bottom"/>
            <w:tcBorders>
              <w:bottom w:val="single" w:sz="8" w:color="auto"/>
            </w:tcBorders>
          </w:tcPr>
          <w:p>
            <w:pPr>
              <w:spacing w:after="0"/>
              <w:rPr>
                <w:sz w:val="18"/>
                <w:szCs w:val="18"/>
                <w:color w:val="auto"/>
              </w:rPr>
            </w:pPr>
          </w:p>
        </w:tc>
      </w:tr>
      <w:tr>
        <w:trPr>
          <w:trHeight w:val="210"/>
        </w:trPr>
        <w:tc>
          <w:tcPr>
            <w:tcW w:w="82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Parts and work-in-process</w:t>
            </w: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Parts and work-in-process include parts for gaming machines and our finished goods inventory primarily consist of gaming machines for sale.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3" w:name="page104"/>
    <w:bookmarkEnd w:id="103"/>
    <w:p>
      <w:pPr>
        <w:ind w:right="20" w:firstLine="648"/>
        <w:spacing w:after="0" w:line="269" w:lineRule="auto"/>
        <w:rPr>
          <w:sz w:val="20"/>
          <w:szCs w:val="20"/>
          <w:color w:val="auto"/>
        </w:rPr>
      </w:pPr>
      <w:r>
        <w:rPr>
          <w:rFonts w:ascii="Arial" w:cs="Arial" w:eastAsia="Arial" w:hAnsi="Arial"/>
          <w:sz w:val="17"/>
          <w:szCs w:val="17"/>
          <w:color w:val="auto"/>
        </w:rPr>
        <w:t>We recorded inventory valuation charges (recorded in Cost of product sales) of $12 million, $48 million and $9 million for the years ended December 31, 2021, 2020 and 2019, respectively, related to inventory in our Gaming business segment. The 2020 charges are a result of our Gaming leadership team’s improved and expanded strategic plan that was initiated in the first half of the year. This strategic plan included revising product roadmaps and assessments related to how many and which platforms we will support, when we end service on legacy platforms and when we stop selling such platforms in conjunction with new product launches. The implementation of this plan, combined with the rapid demand reduction that took place in 2020, our increased focus on our go to market approach in LATAM (both largely as a result of the COVID-19 disruptions), and our view on certain markets and customers, required us to reassess our inventory valuation, including whether we had excess or obsolete inventory based on the new strategic plan, a reduction in demand for legacy platforms, and plans for disposition of the related inventory. In addition, the extended closures in the LATAM region in 2020 made it difficult to execute our previous strategy of shipping legacy platforms into that market. The combination of these factors led to the $48 million inventory valuation charges recognized for the year ended December 31, 2020.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net</w:t>
      </w:r>
    </w:p>
    <w:p>
      <w:pPr>
        <w:spacing w:after="0" w:line="148" w:lineRule="exact"/>
        <w:rPr>
          <w:sz w:val="20"/>
          <w:szCs w:val="20"/>
          <w:color w:val="auto"/>
        </w:rPr>
      </w:pPr>
    </w:p>
    <w:p>
      <w:pPr>
        <w:jc w:val="both"/>
        <w:ind w:right="200" w:firstLine="648"/>
        <w:spacing w:after="0" w:line="277" w:lineRule="auto"/>
        <w:rPr>
          <w:sz w:val="20"/>
          <w:szCs w:val="20"/>
          <w:color w:val="auto"/>
        </w:rPr>
      </w:pPr>
      <w:r>
        <w:rPr>
          <w:rFonts w:ascii="Arial" w:cs="Arial" w:eastAsia="Arial" w:hAnsi="Arial"/>
          <w:sz w:val="18"/>
          <w:szCs w:val="18"/>
          <w:color w:val="auto"/>
        </w:rPr>
        <w:t>Property and equipment are stated at cost, and when placed into service, are depreciated using the straight-line method over the estimated useful lives of the assets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Item</w:t>
            </w:r>
          </w:p>
        </w:tc>
        <w:tc>
          <w:tcPr>
            <w:tcW w:w="3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Estimated Life in Years</w:t>
            </w:r>
          </w:p>
        </w:tc>
      </w:tr>
      <w:tr>
        <w:trPr>
          <w:trHeight w:val="226"/>
        </w:trPr>
        <w:tc>
          <w:tcPr>
            <w:tcW w:w="8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Gaming equipment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- 5</w:t>
            </w:r>
          </w:p>
        </w:tc>
      </w:tr>
      <w:tr>
        <w:trPr>
          <w:trHeight w:val="229"/>
        </w:trPr>
        <w:tc>
          <w:tcPr>
            <w:tcW w:w="8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Machinery and equipment</w:t>
            </w:r>
          </w:p>
        </w:tc>
        <w:tc>
          <w:tcPr>
            <w:tcW w:w="3020" w:type="dxa"/>
            <w:vAlign w:val="bottom"/>
            <w:gridSpan w:val="2"/>
          </w:tcPr>
          <w:p>
            <w:pPr>
              <w:jc w:val="center"/>
              <w:spacing w:after="0"/>
              <w:rPr>
                <w:sz w:val="20"/>
                <w:szCs w:val="20"/>
                <w:color w:val="auto"/>
              </w:rPr>
            </w:pPr>
            <w:r>
              <w:rPr>
                <w:rFonts w:ascii="Arial" w:cs="Arial" w:eastAsia="Arial" w:hAnsi="Arial"/>
                <w:sz w:val="18"/>
                <w:szCs w:val="18"/>
                <w:color w:val="auto"/>
                <w:w w:val="91"/>
              </w:rPr>
              <w:t>3 - 15</w:t>
            </w:r>
          </w:p>
        </w:tc>
      </w:tr>
      <w:tr>
        <w:trPr>
          <w:trHeight w:val="229"/>
        </w:trPr>
        <w:tc>
          <w:tcPr>
            <w:tcW w:w="82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Transportation equipment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w:t>
            </w:r>
          </w:p>
        </w:tc>
      </w:tr>
      <w:tr>
        <w:trPr>
          <w:trHeight w:val="230"/>
        </w:trPr>
        <w:tc>
          <w:tcPr>
            <w:tcW w:w="8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Furniture and fixtures</w:t>
            </w:r>
          </w:p>
        </w:tc>
        <w:tc>
          <w:tcPr>
            <w:tcW w:w="3020" w:type="dxa"/>
            <w:vAlign w:val="bottom"/>
            <w:gridSpan w:val="2"/>
          </w:tcPr>
          <w:p>
            <w:pPr>
              <w:jc w:val="center"/>
              <w:spacing w:after="0"/>
              <w:rPr>
                <w:sz w:val="20"/>
                <w:szCs w:val="20"/>
                <w:color w:val="auto"/>
              </w:rPr>
            </w:pPr>
            <w:r>
              <w:rPr>
                <w:rFonts w:ascii="Arial" w:cs="Arial" w:eastAsia="Arial" w:hAnsi="Arial"/>
                <w:sz w:val="18"/>
                <w:szCs w:val="18"/>
                <w:color w:val="auto"/>
                <w:w w:val="91"/>
              </w:rPr>
              <w:t>5 - 10</w:t>
            </w:r>
          </w:p>
        </w:tc>
      </w:tr>
      <w:tr>
        <w:trPr>
          <w:trHeight w:val="229"/>
        </w:trPr>
        <w:tc>
          <w:tcPr>
            <w:tcW w:w="8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Buildings and improvements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w:t>
            </w:r>
          </w:p>
        </w:tc>
      </w:tr>
    </w:tbl>
    <w:p>
      <w:pPr>
        <w:spacing w:after="0" w:line="21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Costs incurred for equipment associated with specific Gaming contracts not yet placed into service are classified as construction in progress and are not depreciated until placed into service. Leasehold improvements are amortized over the lesser of the term of the corresponding lease or their useful life.</w:t>
      </w:r>
    </w:p>
    <w:p>
      <w:pPr>
        <w:spacing w:after="0" w:line="116"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We periodically review the estimated useful lives of our fixed assets and assess the recoverability of long-lived assets (or asset groups) whenever events or changes in circumstances indicate that the carrying value of such an asset (or asset groups) may not be recoverable.</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and equipment, net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jc w:val="right"/>
              <w:ind w:right="732"/>
              <w:spacing w:after="0"/>
              <w:rPr>
                <w:sz w:val="20"/>
                <w:szCs w:val="20"/>
                <w:color w:val="auto"/>
              </w:rPr>
            </w:pPr>
            <w:r>
              <w:rPr>
                <w:rFonts w:ascii="Arial" w:cs="Arial" w:eastAsia="Arial" w:hAnsi="Arial"/>
                <w:sz w:val="16"/>
                <w:szCs w:val="16"/>
                <w:b w:val="1"/>
                <w:bCs w:val="1"/>
                <w:color w:val="auto"/>
              </w:rPr>
              <w:t>As of December 31,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Gaming machinery and equipment</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Other property and equipment</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11200" w:type="dxa"/>
            <w:vAlign w:val="bottom"/>
            <w:gridSpan w:val="12"/>
          </w:tcPr>
          <w:p>
            <w:pPr>
              <w:jc w:val="right"/>
              <w:ind w:right="212"/>
              <w:spacing w:after="0"/>
              <w:rPr>
                <w:sz w:val="20"/>
                <w:szCs w:val="20"/>
                <w:color w:val="auto"/>
              </w:rPr>
            </w:pPr>
            <w:r>
              <w:rPr>
                <w:rFonts w:ascii="Arial" w:cs="Arial" w:eastAsia="Arial" w:hAnsi="Arial"/>
                <w:sz w:val="18"/>
                <w:szCs w:val="18"/>
                <w:color w:val="auto"/>
                <w:w w:val="94"/>
              </w:rPr>
              <w:t>Depreciation expense is excluded from Cost of services, Cost of product sales and Other operating expenses and is separately presented within</w:t>
            </w:r>
          </w:p>
        </w:tc>
        <w:tc>
          <w:tcPr>
            <w:tcW w:w="20" w:type="dxa"/>
            <w:vAlign w:val="bottom"/>
          </w:tcPr>
          <w:p>
            <w:pPr>
              <w:spacing w:after="0"/>
              <w:rPr>
                <w:sz w:val="24"/>
                <w:szCs w:val="24"/>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D&amp;A.</w:t>
            </w: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5"/>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2"/>
              <w:spacing w:after="0" w:line="213"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1"/>
                <w:szCs w:val="21"/>
                <w:b w:val="1"/>
                <w:bCs w:val="1"/>
                <w:color w:val="auto"/>
                <w:vertAlign w:val="superscript"/>
              </w:rPr>
              <w:t>(1)</w:t>
            </w:r>
          </w:p>
        </w:tc>
        <w:tc>
          <w:tcPr>
            <w:tcW w:w="20" w:type="dxa"/>
            <w:vAlign w:val="bottom"/>
            <w:tcBorders>
              <w:bottom w:val="single" w:sz="8" w:color="auto"/>
            </w:tcBorders>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shd w:val="clear" w:color="auto" w:fill="CCEEFF"/>
          </w:tcPr>
          <w:p>
            <w:pPr>
              <w:spacing w:after="0"/>
              <w:rPr>
                <w:sz w:val="19"/>
                <w:szCs w:val="19"/>
                <w:color w:val="auto"/>
              </w:rPr>
            </w:pPr>
          </w:p>
        </w:tc>
      </w:tr>
    </w:tbl>
    <w:p>
      <w:pPr>
        <w:ind w:left="20"/>
        <w:spacing w:after="0"/>
        <w:rPr>
          <w:sz w:val="20"/>
          <w:szCs w:val="20"/>
          <w:color w:val="auto"/>
        </w:rPr>
      </w:pPr>
      <w:r>
        <w:rPr>
          <w:rFonts w:ascii="Arial" w:cs="Arial" w:eastAsia="Arial" w:hAnsi="Arial"/>
          <w:sz w:val="14"/>
          <w:szCs w:val="14"/>
          <w:color w:val="auto"/>
        </w:rPr>
        <w:t>(1) Includes assets held for sale impairment charges of $9 million.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Acquisitions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4" w:name="page105"/>
    <w:bookmarkEnd w:id="104"/>
    <w:p>
      <w:pPr>
        <w:ind w:right="260" w:firstLine="648"/>
        <w:spacing w:after="0" w:line="257" w:lineRule="auto"/>
        <w:rPr>
          <w:sz w:val="20"/>
          <w:szCs w:val="20"/>
          <w:color w:val="auto"/>
        </w:rPr>
      </w:pPr>
      <w:r>
        <w:rPr>
          <w:rFonts w:ascii="Arial" w:cs="Arial" w:eastAsia="Arial" w:hAnsi="Arial"/>
          <w:sz w:val="18"/>
          <w:szCs w:val="18"/>
          <w:color w:val="auto"/>
        </w:rPr>
        <w:t>We account for business combinations in accordance with ASC 805, which requires us to recognize all (and only) the assets acquired and liabilities assumed in the transaction and establishes the acquisition-date fair value as the measurement objective for all assets acquired and liabilities assumed in a business combination. Certain provisions of this standard prescribe, among other things, the determination of acquisition-date fair value of consideration paid in a business combination (including contingent consideration) and the exclusion of transaction and acquisition related restructuring costs from acquisition accounting.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 Related to Continuing Operations</w:t>
      </w:r>
    </w:p>
    <w:p>
      <w:pPr>
        <w:spacing w:after="0" w:line="144"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In July of 2021, SciPlay acquired privately held Koukoi Games Oy (“Koukoi”), a developer and operator of casual mobile games. Koukoi has been included in our SciPlay business segment and was accounted for as an asset acquisition.</w:t>
      </w:r>
    </w:p>
    <w:p>
      <w:pPr>
        <w:spacing w:after="0" w:line="103"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In August of 2021, we acquired privately held Lightning Box Games (“Lightning Box”), an iGaming content studio. Lightning Box has been included in our iGaming business segment.</w:t>
      </w:r>
    </w:p>
    <w:p>
      <w:pPr>
        <w:spacing w:after="0" w:line="90" w:lineRule="exact"/>
        <w:rPr>
          <w:sz w:val="20"/>
          <w:szCs w:val="20"/>
          <w:color w:val="auto"/>
        </w:rPr>
      </w:pPr>
    </w:p>
    <w:p>
      <w:pPr>
        <w:ind w:right="220" w:firstLine="648"/>
        <w:spacing w:after="0" w:line="248" w:lineRule="auto"/>
        <w:rPr>
          <w:sz w:val="20"/>
          <w:szCs w:val="20"/>
          <w:color w:val="auto"/>
        </w:rPr>
      </w:pPr>
      <w:r>
        <w:rPr>
          <w:rFonts w:ascii="Arial" w:cs="Arial" w:eastAsia="Arial" w:hAnsi="Arial"/>
          <w:sz w:val="18"/>
          <w:szCs w:val="18"/>
          <w:color w:val="auto"/>
        </w:rPr>
        <w:t>In October of 2021, we signed a definitive agreement to acquire Automated Cashless Systems, Inc.’s (“ACS”) table game solution PlayOn™ (“PlayOn™”), a cashless product line that provides players with a debit solution at live table games. PlayOn™ was re-named to “Access To On Demand Money” (“AToM™”) and is included in our Gaming business segment.</w:t>
      </w:r>
    </w:p>
    <w:p>
      <w:pPr>
        <w:spacing w:after="0" w:line="114"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In November of 2021, we acquired Authentic Gaming, a premium provider of live casino solutions, which has been included in our iGaming business segment.</w:t>
      </w:r>
    </w:p>
    <w:p>
      <w:pPr>
        <w:spacing w:after="0" w:line="103" w:lineRule="exact"/>
        <w:rPr>
          <w:sz w:val="20"/>
          <w:szCs w:val="20"/>
          <w:color w:val="auto"/>
        </w:rPr>
      </w:pPr>
    </w:p>
    <w:p>
      <w:pPr>
        <w:ind w:firstLine="648"/>
        <w:spacing w:after="0" w:line="399" w:lineRule="auto"/>
        <w:rPr>
          <w:sz w:val="20"/>
          <w:szCs w:val="20"/>
          <w:color w:val="auto"/>
        </w:rPr>
      </w:pPr>
      <w:r>
        <w:rPr>
          <w:rFonts w:ascii="Arial" w:cs="Arial" w:eastAsia="Arial" w:hAnsi="Arial"/>
          <w:sz w:val="18"/>
          <w:szCs w:val="18"/>
          <w:color w:val="auto"/>
        </w:rPr>
        <w:t xml:space="preserve">In December of 2021, we acquired ELK Studios, a leading European games developer, which has been included in our iGaming business segment. </w:t>
      </w:r>
      <w:r>
        <w:rPr>
          <w:rFonts w:ascii="Arial" w:cs="Arial" w:eastAsia="Arial" w:hAnsi="Arial"/>
          <w:sz w:val="18"/>
          <w:szCs w:val="18"/>
          <w:u w:val="single" w:color="auto"/>
          <w:color w:val="auto"/>
        </w:rPr>
        <w:t>Acquisitions Related to Discontinued Operations</w:t>
      </w:r>
    </w:p>
    <w:p>
      <w:pPr>
        <w:jc w:val="both"/>
        <w:ind w:right="100" w:firstLine="648"/>
        <w:spacing w:after="0" w:line="257" w:lineRule="auto"/>
        <w:rPr>
          <w:sz w:val="20"/>
          <w:szCs w:val="20"/>
          <w:color w:val="auto"/>
        </w:rPr>
      </w:pPr>
      <w:r>
        <w:rPr>
          <w:rFonts w:ascii="Arial" w:cs="Arial" w:eastAsia="Arial" w:hAnsi="Arial"/>
          <w:sz w:val="18"/>
          <w:szCs w:val="18"/>
          <w:color w:val="auto"/>
        </w:rPr>
        <w:t>In August of 2020, we obtained a one-year option agreement to acquire SportCast Pty, Limited (the “SportCast Option”), a privately held sports-betting content and player engagement technology and platform supplier. We accounted for the SportCast Option by electing a measurement alternative to measure this equity investment at cost, less impairment given lack of readily determinable fair value in accordance with ASC Topic 321. In May of 2021, we exercised the SportCast Option and completed an acquisition of SportCast (the “SportCast Acquisition”), which expanded the Sports Betting business’ portfolio of sports-betting technology, services and content.</w:t>
      </w:r>
    </w:p>
    <w:p>
      <w:pPr>
        <w:spacing w:after="0" w:line="12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September of 2021, we acquired Sideplay Entertainment (“Sideplay”), a digital “e-instant” content studio. Sideplay has been included in the Lottery business.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an aggregate disclosure related to business acquisitions completed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Allocation of</w:t>
            </w: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6"/>
                <w:szCs w:val="16"/>
                <w:color w:val="auto"/>
              </w:rPr>
            </w:pPr>
          </w:p>
        </w:tc>
        <w:tc>
          <w:tcPr>
            <w:tcW w:w="138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7"/>
              </w:rPr>
              <w:t>Excess purchase</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Cash paid, net of</w:t>
            </w:r>
          </w:p>
        </w:tc>
        <w:tc>
          <w:tcPr>
            <w:tcW w:w="160" w:type="dxa"/>
            <w:vAlign w:val="bottom"/>
          </w:tcPr>
          <w:p>
            <w:pPr>
              <w:spacing w:after="0"/>
              <w:rPr>
                <w:sz w:val="14"/>
                <w:szCs w:val="14"/>
                <w:color w:val="auto"/>
              </w:rPr>
            </w:pPr>
          </w:p>
        </w:tc>
        <w:tc>
          <w:tcPr>
            <w:tcW w:w="150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Contingent</w:t>
            </w:r>
          </w:p>
        </w:tc>
        <w:tc>
          <w:tcPr>
            <w:tcW w:w="140" w:type="dxa"/>
            <w:vAlign w:val="bottom"/>
          </w:tcPr>
          <w:p>
            <w:pPr>
              <w:spacing w:after="0"/>
              <w:rPr>
                <w:sz w:val="14"/>
                <w:szCs w:val="14"/>
                <w:color w:val="auto"/>
              </w:rPr>
            </w:pPr>
          </w:p>
        </w:tc>
        <w:tc>
          <w:tcPr>
            <w:tcW w:w="13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8"/>
              </w:rPr>
              <w:t>purchase price to</w:t>
            </w:r>
          </w:p>
        </w:tc>
        <w:tc>
          <w:tcPr>
            <w:tcW w:w="100" w:type="dxa"/>
            <w:vAlign w:val="bottom"/>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useful life of</w:t>
            </w:r>
          </w:p>
        </w:tc>
        <w:tc>
          <w:tcPr>
            <w:tcW w:w="1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Total Consideration</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7"/>
              </w:rPr>
              <w:t>Intangible assets,</w:t>
            </w:r>
          </w:p>
        </w:tc>
        <w:tc>
          <w:tcPr>
            <w:tcW w:w="100" w:type="dxa"/>
            <w:vAlign w:val="bottom"/>
          </w:tcPr>
          <w:p>
            <w:pPr>
              <w:spacing w:after="0"/>
              <w:rPr>
                <w:sz w:val="14"/>
                <w:szCs w:val="14"/>
                <w:color w:val="auto"/>
              </w:rPr>
            </w:pPr>
          </w:p>
        </w:tc>
        <w:tc>
          <w:tcPr>
            <w:tcW w:w="16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acquired intangible</w:t>
            </w:r>
          </w:p>
        </w:tc>
        <w:tc>
          <w:tcPr>
            <w:tcW w:w="120" w:type="dxa"/>
            <w:vAlign w:val="bottom"/>
          </w:tcPr>
          <w:p>
            <w:pPr>
              <w:spacing w:after="0"/>
              <w:rPr>
                <w:sz w:val="14"/>
                <w:szCs w:val="14"/>
                <w:color w:val="auto"/>
              </w:rPr>
            </w:pPr>
          </w:p>
        </w:tc>
        <w:tc>
          <w:tcPr>
            <w:tcW w:w="13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price allocated to</w:t>
            </w:r>
          </w:p>
        </w:tc>
        <w:tc>
          <w:tcPr>
            <w:tcW w:w="0" w:type="dxa"/>
            <w:vAlign w:val="bottom"/>
          </w:tcPr>
          <w:p>
            <w:pPr>
              <w:spacing w:after="0"/>
              <w:rPr>
                <w:sz w:val="1"/>
                <w:szCs w:val="1"/>
                <w:color w:val="auto"/>
              </w:rPr>
            </w:pPr>
          </w:p>
        </w:tc>
      </w:tr>
      <w:tr>
        <w:trPr>
          <w:trHeight w:val="216"/>
        </w:trPr>
        <w:tc>
          <w:tcPr>
            <w:tcW w:w="16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cash acquired</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9"/>
              <w:spacing w:after="0" w:line="216" w:lineRule="exact"/>
              <w:rPr>
                <w:sz w:val="20"/>
                <w:szCs w:val="20"/>
                <w:color w:val="auto"/>
              </w:rPr>
            </w:pPr>
            <w:r>
              <w:rPr>
                <w:rFonts w:ascii="Arial" w:cs="Arial" w:eastAsia="Arial" w:hAnsi="Arial"/>
                <w:sz w:val="16"/>
                <w:szCs w:val="16"/>
                <w:b w:val="1"/>
                <w:bCs w:val="1"/>
                <w:color w:val="auto"/>
                <w:w w:val="92"/>
              </w:rPr>
              <w:t>Consideration</w:t>
            </w:r>
            <w:r>
              <w:rPr>
                <w:rFonts w:ascii="Arial" w:cs="Arial" w:eastAsia="Arial" w:hAnsi="Arial"/>
                <w:sz w:val="21"/>
                <w:szCs w:val="21"/>
                <w:b w:val="1"/>
                <w:bCs w:val="1"/>
                <w:color w:val="auto"/>
                <w:w w:val="92"/>
                <w:vertAlign w:val="superscript"/>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line="216" w:lineRule="exact"/>
              <w:rPr>
                <w:sz w:val="20"/>
                <w:szCs w:val="20"/>
                <w:color w:val="auto"/>
              </w:rPr>
            </w:pPr>
            <w:r>
              <w:rPr>
                <w:rFonts w:ascii="Arial" w:cs="Arial" w:eastAsia="Arial" w:hAnsi="Arial"/>
                <w:sz w:val="16"/>
                <w:szCs w:val="16"/>
                <w:b w:val="1"/>
                <w:bCs w:val="1"/>
                <w:color w:val="auto"/>
                <w:w w:val="82"/>
              </w:rPr>
              <w:t>net</w:t>
            </w:r>
            <w:r>
              <w:rPr>
                <w:rFonts w:ascii="Arial" w:cs="Arial" w:eastAsia="Arial" w:hAnsi="Arial"/>
                <w:sz w:val="21"/>
                <w:szCs w:val="21"/>
                <w:b w:val="1"/>
                <w:bCs w:val="1"/>
                <w:color w:val="auto"/>
                <w:w w:val="82"/>
                <w:vertAlign w:val="superscript"/>
              </w:rPr>
              <w:t>(2)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0"/>
              </w:rPr>
              <w:t>assets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9"/>
              <w:spacing w:after="0" w:line="216" w:lineRule="exact"/>
              <w:rPr>
                <w:sz w:val="20"/>
                <w:szCs w:val="20"/>
                <w:color w:val="auto"/>
              </w:rPr>
            </w:pPr>
            <w:r>
              <w:rPr>
                <w:rFonts w:ascii="Arial" w:cs="Arial" w:eastAsia="Arial" w:hAnsi="Arial"/>
                <w:sz w:val="16"/>
                <w:szCs w:val="16"/>
                <w:b w:val="1"/>
                <w:bCs w:val="1"/>
                <w:color w:val="auto"/>
                <w:w w:val="87"/>
              </w:rPr>
              <w:t>Goodwill</w:t>
            </w:r>
            <w:r>
              <w:rPr>
                <w:rFonts w:ascii="Arial" w:cs="Arial" w:eastAsia="Arial" w:hAnsi="Arial"/>
                <w:sz w:val="21"/>
                <w:szCs w:val="21"/>
                <w:b w:val="1"/>
                <w:bCs w:val="1"/>
                <w:color w:val="auto"/>
                <w:w w:val="87"/>
                <w:vertAlign w:val="superscript"/>
              </w:rPr>
              <w:t>(3)</w:t>
            </w:r>
          </w:p>
        </w:tc>
        <w:tc>
          <w:tcPr>
            <w:tcW w:w="0" w:type="dxa"/>
            <w:vAlign w:val="bottom"/>
          </w:tcPr>
          <w:p>
            <w:pPr>
              <w:spacing w:after="0"/>
              <w:rPr>
                <w:sz w:val="1"/>
                <w:szCs w:val="1"/>
                <w:color w:val="auto"/>
              </w:rPr>
            </w:pPr>
          </w:p>
        </w:tc>
      </w:tr>
      <w:tr>
        <w:trPr>
          <w:trHeight w:val="155"/>
        </w:trPr>
        <w:tc>
          <w:tcPr>
            <w:tcW w:w="168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Acquisitions related to</w:t>
            </w:r>
          </w:p>
        </w:tc>
        <w:tc>
          <w:tcPr>
            <w:tcW w:w="640" w:type="dxa"/>
            <w:vAlign w:val="bottom"/>
            <w:shd w:val="clear" w:color="auto" w:fill="CCEEFF"/>
          </w:tcPr>
          <w:p>
            <w:pPr>
              <w:jc w:val="right"/>
              <w:ind w:right="459"/>
              <w:spacing w:after="0" w:line="155"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80"/>
              <w:spacing w:after="0" w:line="155" w:lineRule="exact"/>
              <w:rPr>
                <w:sz w:val="20"/>
                <w:szCs w:val="20"/>
                <w:color w:val="auto"/>
              </w:rPr>
            </w:pPr>
            <w:r>
              <w:rPr>
                <w:rFonts w:ascii="Arial" w:cs="Arial" w:eastAsia="Arial" w:hAnsi="Arial"/>
                <w:sz w:val="16"/>
                <w:szCs w:val="16"/>
                <w:color w:val="auto"/>
              </w:rPr>
              <w:t>6.4 Years</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ind w:left="20"/>
              <w:spacing w:after="0" w:line="203" w:lineRule="exact"/>
              <w:rPr>
                <w:sz w:val="20"/>
                <w:szCs w:val="20"/>
                <w:color w:val="auto"/>
              </w:rPr>
            </w:pPr>
            <w:r>
              <w:rPr>
                <w:rFonts w:ascii="Arial" w:cs="Arial" w:eastAsia="Arial" w:hAnsi="Arial"/>
                <w:sz w:val="16"/>
                <w:szCs w:val="16"/>
                <w:color w:val="auto"/>
                <w:w w:val="96"/>
              </w:rPr>
              <w:t>continuing operations</w:t>
            </w:r>
            <w:r>
              <w:rPr>
                <w:rFonts w:ascii="Arial" w:cs="Arial" w:eastAsia="Arial" w:hAnsi="Arial"/>
                <w:sz w:val="21"/>
                <w:szCs w:val="21"/>
                <w:color w:val="auto"/>
                <w:w w:val="96"/>
                <w:vertAlign w:val="superscript"/>
              </w:rPr>
              <w:t>(4)</w:t>
            </w: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20"/>
              <w:spacing w:after="0" w:line="166" w:lineRule="exact"/>
              <w:rPr>
                <w:sz w:val="20"/>
                <w:szCs w:val="20"/>
                <w:color w:val="auto"/>
              </w:rPr>
            </w:pPr>
            <w:r>
              <w:rPr>
                <w:rFonts w:ascii="Arial" w:cs="Arial" w:eastAsia="Arial" w:hAnsi="Arial"/>
                <w:sz w:val="16"/>
                <w:szCs w:val="16"/>
                <w:color w:val="auto"/>
              </w:rPr>
              <w:t>Acquisitions related to</w:t>
            </w:r>
          </w:p>
        </w:tc>
        <w:tc>
          <w:tcPr>
            <w:tcW w:w="64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106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line="166" w:lineRule="exact"/>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line="166" w:lineRule="exact"/>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line="166" w:lineRule="exact"/>
              <w:rPr>
                <w:sz w:val="20"/>
                <w:szCs w:val="20"/>
                <w:color w:val="auto"/>
              </w:rPr>
            </w:pPr>
            <w:r>
              <w:rPr>
                <w:rFonts w:ascii="Arial" w:cs="Arial" w:eastAsia="Arial" w:hAnsi="Arial"/>
                <w:sz w:val="16"/>
                <w:szCs w:val="16"/>
                <w:color w:val="auto"/>
              </w:rPr>
              <w:t>35</w:t>
            </w:r>
          </w:p>
        </w:tc>
        <w:tc>
          <w:tcPr>
            <w:tcW w:w="100" w:type="dxa"/>
            <w:vAlign w:val="bottom"/>
          </w:tcPr>
          <w:p>
            <w:pPr>
              <w:spacing w:after="0"/>
              <w:rPr>
                <w:sz w:val="14"/>
                <w:szCs w:val="14"/>
                <w:color w:val="auto"/>
              </w:rPr>
            </w:pPr>
          </w:p>
        </w:tc>
        <w:tc>
          <w:tcPr>
            <w:tcW w:w="1620" w:type="dxa"/>
            <w:vAlign w:val="bottom"/>
            <w:gridSpan w:val="2"/>
          </w:tcPr>
          <w:p>
            <w:pPr>
              <w:jc w:val="right"/>
              <w:ind w:right="480"/>
              <w:spacing w:after="0" w:line="166" w:lineRule="exact"/>
              <w:rPr>
                <w:sz w:val="20"/>
                <w:szCs w:val="20"/>
                <w:color w:val="auto"/>
              </w:rPr>
            </w:pPr>
            <w:r>
              <w:rPr>
                <w:rFonts w:ascii="Arial" w:cs="Arial" w:eastAsia="Arial" w:hAnsi="Arial"/>
                <w:sz w:val="16"/>
                <w:szCs w:val="16"/>
                <w:color w:val="auto"/>
              </w:rPr>
              <w:t>6 Years</w:t>
            </w:r>
          </w:p>
        </w:tc>
        <w:tc>
          <w:tcPr>
            <w:tcW w:w="120" w:type="dxa"/>
            <w:vAlign w:val="bottom"/>
          </w:tcPr>
          <w:p>
            <w:pPr>
              <w:spacing w:after="0"/>
              <w:rPr>
                <w:sz w:val="14"/>
                <w:szCs w:val="14"/>
                <w:color w:val="auto"/>
              </w:rPr>
            </w:pPr>
          </w:p>
        </w:tc>
        <w:tc>
          <w:tcPr>
            <w:tcW w:w="1380" w:type="dxa"/>
            <w:vAlign w:val="bottom"/>
          </w:tcPr>
          <w:p>
            <w:pPr>
              <w:jc w:val="right"/>
              <w:spacing w:after="0" w:line="166"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58"/>
        </w:trPr>
        <w:tc>
          <w:tcPr>
            <w:tcW w:w="1680" w:type="dxa"/>
            <w:vAlign w:val="bottom"/>
          </w:tcPr>
          <w:p>
            <w:pPr>
              <w:ind w:left="20"/>
              <w:spacing w:after="0" w:line="158" w:lineRule="exact"/>
              <w:rPr>
                <w:sz w:val="20"/>
                <w:szCs w:val="20"/>
                <w:color w:val="auto"/>
              </w:rPr>
            </w:pPr>
            <w:r>
              <w:rPr>
                <w:rFonts w:ascii="Arial" w:cs="Arial" w:eastAsia="Arial" w:hAnsi="Arial"/>
                <w:sz w:val="16"/>
                <w:szCs w:val="16"/>
                <w:color w:val="auto"/>
              </w:rPr>
              <w:t>discontinued</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operations</w:t>
            </w:r>
            <w:r>
              <w:rPr>
                <w:rFonts w:ascii="Arial" w:cs="Arial" w:eastAsia="Arial" w:hAnsi="Arial"/>
                <w:sz w:val="21"/>
                <w:szCs w:val="21"/>
                <w:color w:val="auto"/>
                <w:vertAlign w:val="superscript"/>
              </w:rPr>
              <w:t>(5)</w:t>
            </w:r>
          </w:p>
        </w:tc>
        <w:tc>
          <w:tcPr>
            <w:tcW w:w="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Aggregate 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20" w:right="280" w:firstLine="6"/>
        <w:spacing w:after="0" w:line="218" w:lineRule="auto"/>
        <w:tabs>
          <w:tab w:leader="none" w:pos="224"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Contingent acquisition consideration values are primarily based on reaching certain earnings-based metrics, with a cumulative maximum payout of up to $109 million as of December 31, 2021 and were determined by fair value and included in the consideration transferred. The fair value was primarily determined using an income approach method and level 3 inputs in the hierarchy as established by ASC 820. The maximum contingent acquisition consideration liability related to continuing operations was $86 million as of December 31, 2021. The maximum contingent acquisition consideration liability related to discontinued operations was $23 million as of December 31, 2021.</w:t>
      </w:r>
    </w:p>
    <w:p>
      <w:pPr>
        <w:spacing w:after="0" w:line="9" w:lineRule="exact"/>
        <w:rPr>
          <w:rFonts w:ascii="Arial" w:cs="Arial" w:eastAsia="Arial" w:hAnsi="Arial"/>
          <w:sz w:val="14"/>
          <w:szCs w:val="14"/>
          <w:color w:val="auto"/>
        </w:rPr>
      </w:pPr>
    </w:p>
    <w:p>
      <w:pPr>
        <w:ind w:left="20" w:right="40" w:firstLine="6"/>
        <w:spacing w:after="0" w:line="281" w:lineRule="auto"/>
        <w:tabs>
          <w:tab w:leader="none" w:pos="224"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Intangible assets primarily consist of technology-based and customer relationship intangible assets. The fair value of these intangible assets was determined using an income approach method and level 3 inputs in the hierarchy as established by ASC 820. The discount rates and royalty rates used in the valuation analyses ranged between 15% and 29% and 1% and 52%, respectively.</w:t>
      </w:r>
    </w:p>
    <w:p>
      <w:pPr>
        <w:ind w:left="20" w:right="80" w:firstLine="6"/>
        <w:spacing w:after="0" w:line="236" w:lineRule="auto"/>
        <w:tabs>
          <w:tab w:leader="none" w:pos="224"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factors contributing to the recognition of acquisition goodwill are based on customer offering diversification, expected synergies, assembled workforce and other strategic benefits. None of the resultant goodwill is expected to be deductible for income tax purposes.</w:t>
      </w:r>
    </w:p>
    <w:p>
      <w:pPr>
        <w:spacing w:after="0" w:line="7" w:lineRule="exact"/>
        <w:rPr>
          <w:rFonts w:ascii="Arial" w:cs="Arial" w:eastAsia="Arial" w:hAnsi="Arial"/>
          <w:sz w:val="14"/>
          <w:szCs w:val="14"/>
          <w:color w:val="auto"/>
        </w:rPr>
      </w:pPr>
    </w:p>
    <w:p>
      <w:pPr>
        <w:ind w:left="20" w:right="320" w:firstLine="6"/>
        <w:spacing w:after="0" w:line="236" w:lineRule="auto"/>
        <w:tabs>
          <w:tab w:leader="none" w:pos="224" w:val="left"/>
        </w:tabs>
        <w:numPr>
          <w:ilvl w:val="0"/>
          <w:numId w:val="42"/>
        </w:numPr>
        <w:rPr>
          <w:rFonts w:ascii="Arial" w:cs="Arial" w:eastAsia="Arial" w:hAnsi="Arial"/>
          <w:sz w:val="14"/>
          <w:szCs w:val="14"/>
          <w:color w:val="auto"/>
        </w:rPr>
      </w:pPr>
      <w:r>
        <w:rPr>
          <w:rFonts w:ascii="Arial" w:cs="Arial" w:eastAsia="Arial" w:hAnsi="Arial"/>
          <w:sz w:val="14"/>
          <w:szCs w:val="14"/>
          <w:color w:val="auto"/>
        </w:rPr>
        <w:t>Authentic Gaming and Elk Studios (included within this line) are based on the preliminary allocations of the purchase price expected to be finalized during the first half of 2022, pending completion of the valuation analyses for the acquired intangible assets.</w:t>
      </w:r>
    </w:p>
    <w:p>
      <w:pPr>
        <w:spacing w:after="0" w:line="7" w:lineRule="exact"/>
        <w:rPr>
          <w:rFonts w:ascii="Arial" w:cs="Arial" w:eastAsia="Arial" w:hAnsi="Arial"/>
          <w:sz w:val="14"/>
          <w:szCs w:val="14"/>
          <w:color w:val="auto"/>
        </w:rPr>
      </w:pPr>
    </w:p>
    <w:p>
      <w:pPr>
        <w:ind w:left="20" w:right="60" w:firstLine="6"/>
        <w:spacing w:after="0" w:line="218" w:lineRule="auto"/>
        <w:tabs>
          <w:tab w:leader="none" w:pos="224"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SportCast acquisition’s total consideration transferred included $63 million in fair value of the SportCast Option, which resulted in a $63 million gain recorded in the Net income from discontinued operations, net of tax, line item in our consolidated statements of operations for the year ended December 31, 2021 due to the increase in fair value of the SportCast Option. The fair value of the Sportscast Option has been determined using an income approach method and level 3 inputs in the hierarchy as established by ASC 820. The discount rate used in the valuation analyses was 15%.</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revenue and earnings associated with all of the above acquisitions are not significant to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144"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On June 22, 2020, SciPlay completed the acquisition of all of the issued and outstanding capital stock of privately held mobile and social game company Come2Play, Ltd. (“Come2Play”), which expands SciPlay’s existing portfolio of social games. Come2Play offers a solitaire social game targeted towards casual game players on the same platform in which SciPlay currently offers its existing games. The total purchase consideration was $18 million, which includes our estimate of contingent acquisition consideration. Our allocation of the purchase price resulted in $13 million intangible assets primarily allocated to customer relationships and acquired technology and $7 million in excess purchase price allocated to 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Alictus Acquisition</w:t>
      </w:r>
    </w:p>
    <w:p>
      <w:pPr>
        <w:spacing w:after="0" w:line="15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March 1, 2022, SciPlay acquired 80% of all issued and outstanding share capital of privately held Alictus Yazilim Anonim Şirketi (“Alictus”), a Turkey-based hyper-casual game studio for approximately $102 million cash consideration, net of cash acquired. The remaining 20% will be acquired ratably for potential additional consideration payable annually based upon the achievement of specified revenue and EBITDA targets by Alictus during each of the five years following the acquisition date. Any future payments associated with the acquisition of the remaining 20% will represent a contingent consideration obligation, with a minimum payout of $— million and a maximum payout of $200 million. The Alictus acquisition expands SciPlay’s business in the casual gaming market, growing their game pipeline and diversifying their revenue streams as they advance their strategy to be a diversified global game developer.</w:t>
      </w:r>
    </w:p>
    <w:p>
      <w:pPr>
        <w:spacing w:after="0" w:line="11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are in the process of completing the preliminary purchase price accounting and expect that a substantial amount of the purchase price will be allocated to goodwill and intangible assets. The revenue, earnings and assets associated with the Alictus acquisition are not significant to our historical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Intangible Assets, net and Goodwill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14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following tables present certain information regarding our intangible assets as of December 31, 2021 and December 31, 2020. Amortizable intangible assets are being amortized on a straight-line basis over their estimated useful lives with no estimated residual values, which materially approximates the expected pattern of use.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2"/>
              <w:spacing w:after="0" w:line="158" w:lineRule="exact"/>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92"/>
              <w:spacing w:after="0" w:line="158" w:lineRule="exact"/>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2"/>
              <w:spacing w:after="0" w:line="162" w:lineRule="exact"/>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Balance</w:t>
            </w:r>
          </w:p>
        </w:tc>
        <w:tc>
          <w:tcPr>
            <w:tcW w:w="160" w:type="dxa"/>
            <w:vAlign w:val="bottom"/>
          </w:tcPr>
          <w:p>
            <w:pPr>
              <w:spacing w:after="0"/>
              <w:rPr>
                <w:sz w:val="14"/>
                <w:szCs w:val="14"/>
                <w:color w:val="auto"/>
              </w:rPr>
            </w:pPr>
          </w:p>
        </w:tc>
        <w:tc>
          <w:tcPr>
            <w:tcW w:w="900" w:type="dxa"/>
            <w:vAlign w:val="bottom"/>
          </w:tcPr>
          <w:p>
            <w:pPr>
              <w:jc w:val="center"/>
              <w:ind w:right="92"/>
              <w:spacing w:after="0" w:line="162" w:lineRule="exact"/>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w w:val="87"/>
              </w:rPr>
              <w:t>Net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Amortization</w:t>
            </w: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ind w:right="72"/>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Intellectual property</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Brand names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line="230" w:lineRule="exact"/>
              <w:rPr>
                <w:sz w:val="20"/>
                <w:szCs w:val="20"/>
                <w:color w:val="auto"/>
              </w:rPr>
            </w:pPr>
            <w:r>
              <w:rPr>
                <w:rFonts w:ascii="Arial" w:cs="Arial" w:eastAsia="Arial" w:hAnsi="Arial"/>
                <w:sz w:val="18"/>
                <w:szCs w:val="18"/>
                <w:color w:val="auto"/>
              </w:rPr>
              <w:t>Trade names</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Patents and other</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amortizable intangible assets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Non-amortizable intangible assets: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Trade names</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right="340" w:firstLine="6"/>
        <w:spacing w:after="0" w:line="236" w:lineRule="auto"/>
        <w:tabs>
          <w:tab w:leader="none" w:pos="224" w:val="left"/>
        </w:tabs>
        <w:numPr>
          <w:ilvl w:val="0"/>
          <w:numId w:val="43"/>
        </w:numPr>
        <w:rPr>
          <w:rFonts w:ascii="Arial" w:cs="Arial" w:eastAsia="Arial" w:hAnsi="Arial"/>
          <w:sz w:val="14"/>
          <w:szCs w:val="14"/>
          <w:color w:val="auto"/>
        </w:rPr>
      </w:pPr>
      <w:r>
        <w:rPr>
          <w:rFonts w:ascii="Arial" w:cs="Arial" w:eastAsia="Arial" w:hAnsi="Arial"/>
          <w:sz w:val="14"/>
          <w:szCs w:val="14"/>
          <w:color w:val="auto"/>
        </w:rPr>
        <w:t>During the fourth quarter of 2021, a legacy trade name was reclassified to amortizable trade names assets as a result of our rebranding initiatives (see below in this Note 11 for additional details).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reflects intangible amortization expense included within D&amp;A:</w:t>
      </w:r>
    </w:p>
    <w:p>
      <w:pPr>
        <w:spacing w:after="0" w:line="199"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20320</wp:posOffset>
            </wp:positionV>
            <wp:extent cx="2143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ind w:left="8220"/>
        <w:spacing w:after="0"/>
        <w:tabs>
          <w:tab w:leader="none" w:pos="9380" w:val="left"/>
          <w:tab w:leader="none" w:pos="1054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7860" w:val="left"/>
          <w:tab w:leader="none" w:pos="8560" w:val="left"/>
          <w:tab w:leader="none" w:pos="9020" w:val="left"/>
          <w:tab w:leader="none" w:pos="9720" w:val="left"/>
          <w:tab w:leader="none" w:pos="10180" w:val="left"/>
          <w:tab w:leader="none" w:pos="10880" w:val="left"/>
        </w:tabs>
        <w:rPr>
          <w:sz w:val="20"/>
          <w:szCs w:val="20"/>
          <w:color w:val="auto"/>
        </w:rPr>
      </w:pPr>
      <w:r>
        <w:rPr>
          <w:rFonts w:ascii="Arial" w:cs="Arial" w:eastAsia="Arial" w:hAnsi="Arial"/>
          <w:sz w:val="18"/>
          <w:szCs w:val="18"/>
          <w:color w:val="auto"/>
        </w:rPr>
        <w:t>Amortization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197</w:t>
        <w:tab/>
        <w:t>$</w:t>
      </w:r>
      <w:r>
        <w:rPr>
          <w:sz w:val="20"/>
          <w:szCs w:val="20"/>
          <w:color w:val="auto"/>
        </w:rPr>
        <w:tab/>
      </w:r>
      <w:r>
        <w:rPr>
          <w:rFonts w:ascii="Arial" w:cs="Arial" w:eastAsia="Arial" w:hAnsi="Arial"/>
          <w:sz w:val="18"/>
          <w:szCs w:val="18"/>
          <w:color w:val="auto"/>
        </w:rPr>
        <w:t>207</w:t>
        <w:tab/>
        <w:t>$</w:t>
      </w:r>
      <w:r>
        <w:rPr>
          <w:sz w:val="20"/>
          <w:szCs w:val="20"/>
          <w:color w:val="auto"/>
        </w:rPr>
        <w:tab/>
      </w:r>
      <w:r>
        <w:rPr>
          <w:rFonts w:ascii="Arial" w:cs="Arial" w:eastAsia="Arial" w:hAnsi="Arial"/>
          <w:sz w:val="15"/>
          <w:szCs w:val="15"/>
          <w:color w:val="auto"/>
        </w:rPr>
        <w:t>257</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intangible asset amortization expense for the year ending December 31, 2022 and each of the subsequent four years: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left="416"/>
              <w:spacing w:after="0"/>
              <w:rPr>
                <w:sz w:val="20"/>
                <w:szCs w:val="20"/>
                <w:color w:val="auto"/>
              </w:rPr>
            </w:pPr>
            <w:r>
              <w:rPr>
                <w:rFonts w:ascii="Arial" w:cs="Arial" w:eastAsia="Arial" w:hAnsi="Arial"/>
                <w:sz w:val="16"/>
                <w:szCs w:val="16"/>
                <w:b w:val="1"/>
                <w:bCs w:val="1"/>
                <w:color w:val="auto"/>
                <w:w w:val="91"/>
              </w:rPr>
              <w:t>Year Ending December 31,</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w w:val="95"/>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2026</w:t>
            </w: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bl>
    <w:p>
      <w:pPr>
        <w:spacing w:after="0" w:line="21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During the fourth quarter of 2021 and as a result of corporate-wide rebranding, we determined that useful lives for certain of our indefinite-lived and finite-lived trade names in our Gaming business segment warrant a change. We first performed an impairment assessment, which indicated that carrying values of these trade names are recoverable (or for our indefinite-lived asset, the estimated fair value was more likely than not in-excess of the carrying value). The change in useful life determination was treated as a change in estimate with a $109 million carrying value of these legacy trade names being amortized on a straight-line basis over a twenty month period beginning in the fourth quarter of 2021, which materially approximates the expected pattern of use over their remaining useful lives and periods over which these legacy trade names will contribute to the future cash flows of the respective asset groups. The incremental expense of this change for the year ended December 31, 2021 was $10 million and is recorded in D&amp;A.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5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table below reconciles the change in the carrying value of goodwill, by business segment, for the period from December 31, 2019 to December 31,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Gaming</w:t>
            </w:r>
            <w:r>
              <w:rPr>
                <w:rFonts w:ascii="Arial" w:cs="Arial" w:eastAsia="Arial" w:hAnsi="Arial"/>
                <w:sz w:val="21"/>
                <w:szCs w:val="21"/>
                <w:b w:val="1"/>
                <w:bCs w:val="1"/>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SciPlay</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iGaming</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Totals</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115</w:t>
            </w: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170</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w:t>
            </w:r>
          </w:p>
        </w:tc>
      </w:tr>
      <w:tr>
        <w:trPr>
          <w:trHeight w:val="229"/>
        </w:trPr>
        <w:tc>
          <w:tcPr>
            <w:tcW w:w="556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goodwill</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adjustments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r>
      <w:tr>
        <w:trPr>
          <w:trHeight w:val="229"/>
        </w:trPr>
        <w:tc>
          <w:tcPr>
            <w:tcW w:w="5560" w:type="dxa"/>
            <w:vAlign w:val="bottom"/>
          </w:tcPr>
          <w:p>
            <w:pPr>
              <w:ind w:left="140"/>
              <w:spacing w:after="0"/>
              <w:rPr>
                <w:sz w:val="20"/>
                <w:szCs w:val="20"/>
                <w:color w:val="auto"/>
              </w:rPr>
            </w:pPr>
            <w:r>
              <w:rPr>
                <w:rFonts w:ascii="Arial" w:cs="Arial" w:eastAsia="Arial" w:hAnsi="Arial"/>
                <w:sz w:val="18"/>
                <w:szCs w:val="18"/>
                <w:color w:val="auto"/>
              </w:rPr>
              <w:t>Acquired goodwill</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126</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361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w:t>
            </w:r>
          </w:p>
        </w:tc>
      </w:tr>
      <w:tr>
        <w:trPr>
          <w:trHeight w:val="21"/>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Accumulated goodwill impairment charges for the Gaming segment as of December 31, 2021 were $989 million.</w:t>
      </w:r>
    </w:p>
    <w:p>
      <w:pPr>
        <w:spacing w:after="0" w:line="248"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Goodwill represents the excess of the purchase price over the fair value of the assets acquired and liabilities assumed of acquired companies. We test goodwill for impairment annually as of October 1 of each fiscal year or more frequently if events arise or circumstances change that indicate that it is more likely than not that the fair value of a reporting unit is less than its carrying value.</w:t>
      </w:r>
    </w:p>
    <w:p>
      <w:pPr>
        <w:spacing w:after="0" w:line="11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evaluate goodwill at the reporting unit level by comparing the carrying value of each reporting unit to its fair value using a quantitative impairment test or qualitative assessment, as deemed appropriate. Under the qualitative assessment option, we first assess qualitative factors to determine whether the fair value of a reporting unit is not “more than likely” less than its carrying value, which is commonly referred to as “Step 0”. If the fair value of the reporting unit is greater or if it is more likely than not that the fair value of the reporting unit is greater than its carrying value, goodwill is not considered impaired. For reporting units where we perform the quantitative process, we are required to compare the fair value of each reporting unit, which we primarily determine using an income approach based on the present value of discounted cash flows and a market approach, to the respective carrying value, which includes goodwill. If the fair value of the reporting unit is less than its carrying value, an impairment charge is recognized for the amount by which the carrying value exceeds the reporting unit’s fair value determined based on a quantitative test, not to exceed the total amount of goodwill allocated to that reporting unit.</w:t>
      </w:r>
    </w:p>
    <w:p>
      <w:pPr>
        <w:spacing w:after="0" w:line="113"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We review our operating segments in accordance with ASC 350 to determine reporting units within our operating segments based on the availability of discrete financial information that is regularly reviewed by segment management. As a result of our Lottery and Sports Betting businesses being reflected as discontinued operations (see Note 2), we reassessed our continuing operations reporting units and determined that we have six reporting units: SG Gaming, U.K. Gaming, Casino Management Systems, Table Products, SciPlay, and iGaming. For business segment information, see Note 3.</w:t>
      </w:r>
    </w:p>
    <w:p>
      <w:pPr>
        <w:spacing w:after="0" w:line="7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annual goodwill impairment tests as of October 1, 2021 indicated estimated fair values were in excess of their carrying values for each of our reporting units that have goodwill balances.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U.K. Gaming Impairment Charge</w:t>
      </w:r>
    </w:p>
    <w:p>
      <w:pPr>
        <w:spacing w:after="0" w:line="15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 substantial portion of our U.K. Gaming reporting unit revenue comes from Ladbrokes Coral Group (acquired by Entain (formerly GVC Holdings PLC) in March 2018), which operates LBOs in the U.K. On April 1, 2019 the maximum stakes limit on fixed odds betting terminals was reduced from £100 to £2. As a result of this change, LBO operators began to rationalize their retail operations, which among other measures has included closure of certain LBO shops. Consequently, as of October 1, 2019, we concluded that an elevated risk of goodwill impairment existed for our U.K. Gaming reporting unit as adverse changes in projections for future operating results or other key assumptions, such as projected revenue, profit margin, capital expenditures or cash flows associated with investments included in that reporting unit could lead to future goodwill impairments.</w:t>
      </w:r>
    </w:p>
    <w:p>
      <w:pPr>
        <w:spacing w:after="0" w:line="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first quarter of 2020, the COVID-19 disruptions resulted in the widespread closures of LBO shops across the U.K., which, along with global economic uncertainty, contributed to further deterioration in business conditions from our 2019 annual goodwill test date. This had an adverse effect on our U.K. Gaming reporting unit (part of our Gaming business segment), which necessitated performing a quantitative goodwill impairment test during the first quarter of 2020.</w:t>
      </w:r>
    </w:p>
    <w:p>
      <w:pPr>
        <w:spacing w:after="0" w:line="11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performed this quantitative impairment test by comparing the fair value of our U.K. Gaming reporting unit to its carrying value, including goodwill. The fair value of our U.K. Gaming reporting unit was determined using a combination of both an income approach, based on the present value of discounted cash flows, and a market approach. Due to market volatility and limited market data points specific to the nature of our U.K. Gaming reporting unit operations, we placed greater weight on the income approach than on the market approach. As a result of this analysis, during the first quarter of 2020 we recognized a partial impairment charge totaling $54 million, which is the amount by which the carrying value exceeded the estimated fair value. This impairment charge resulted in no tax benefit.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08" w:name="page109"/>
    <w:bookmarkEnd w:id="108"/>
    <w:p>
      <w:pPr>
        <w:ind w:right="40" w:firstLine="648"/>
        <w:spacing w:after="0" w:line="275" w:lineRule="auto"/>
        <w:rPr>
          <w:sz w:val="20"/>
          <w:szCs w:val="20"/>
          <w:color w:val="auto"/>
        </w:rPr>
      </w:pPr>
      <w:r>
        <w:rPr>
          <w:rFonts w:ascii="Arial" w:cs="Arial" w:eastAsia="Arial" w:hAnsi="Arial"/>
          <w:sz w:val="17"/>
          <w:szCs w:val="17"/>
          <w:color w:val="auto"/>
        </w:rPr>
        <w:t>We used projections of revenues, profit margin, operating costs, capital expenditures and cash flows that primarily considered general economic and market conditions and estimated future results including the estimated impact of the COVID-19 disruptions. We used a range of different scenarios and derived estimated fair value based on an equal weighting of these scenarios to reflect the economic uncertainty resulting from the COVID-19 disruptions and the timing and magnitude of the economic recovery following the COVID-19 disruptions coupled with the impact of the regulatory change. The following ranges of the key estimates and assumptions were used in the discounted cash flow analysis:</w:t>
      </w:r>
    </w:p>
    <w:p>
      <w:pPr>
        <w:spacing w:after="0" w:line="109" w:lineRule="exact"/>
        <w:rPr>
          <w:sz w:val="20"/>
          <w:szCs w:val="20"/>
          <w:color w:val="auto"/>
        </w:rPr>
      </w:pPr>
    </w:p>
    <w:p>
      <w:pPr>
        <w:ind w:left="660" w:right="180" w:hanging="328"/>
        <w:spacing w:after="0" w:line="258"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growth for FY 2021 between negative 9% and negative 20%, an average revenue growth for FY 2022 to FY 2027 between positive 3% and positive 5%, and terminal revenue growth rate of positive 2.0%;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average profit margin ranging from 13% to 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Assumptions regarding future capital expenditures reflective of maintaining our current customer contracts;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overall discount rate ranging from 8.5% to 10.0%.</w:t>
      </w:r>
    </w:p>
    <w:p>
      <w:pPr>
        <w:spacing w:after="0" w:line="23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our market comparable analysis, we considered revenue and EBITDA multiples ranging from 2.1x to 2.7x and 5.7x to 7.5x, respectively, and ultimately selected multiples at the low end of the range.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long-lived assets and intangible assets with finite useful lives</w:t>
      </w:r>
    </w:p>
    <w:p>
      <w:pPr>
        <w:spacing w:after="0" w:line="15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Intangible assets with finite useful lives are amortized over two to fifteen years using the straight-line method, which materially approximates the pattern of the assets’ use. Factors considered when assigning useful lives include legal, regulatory and contractual provisions, product obsolescence, demand, competition and other economic factors.</w:t>
      </w:r>
    </w:p>
    <w:p>
      <w:pPr>
        <w:spacing w:after="0" w:line="11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assess the recoverability of long-lived assets and intangible assets with finite useful lives whenever events arise or circumstances change that indicate the carrying value of an asset may not be recoverable. Recoverability of long-lived assets (or asset groups) to be held and used is measured by a comparison of the carrying value of the asset (or asset group) to the expected net future undiscounted cash flows to be generated by that asset (or asset group). The amount of impairment of other long-lived assets and intangible assets with finite lives is measured by the amount by which the carrying value of the asset exceeds the fair market value of the asset.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Software, net</w:t>
      </w:r>
    </w:p>
    <w:p>
      <w:pPr>
        <w:spacing w:after="0" w:line="16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capitalize direct costs used in the development of internal-use software. Amounts capitalized are amortized over a period of two to ten years on a straight-line basis.</w:t>
      </w:r>
    </w:p>
    <w:p>
      <w:pPr>
        <w:spacing w:after="0" w:line="10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purchase, license and incur costs to develop external use software to be used in the products we sell, lease or market to customers. Costs incurred in creating software are expensed when incurred as R&amp;D until technological feasibility has been established, after which costs are capitalized up to the date the software is available for general release to customers. Generally, the software we develop reaches technological feasibility when a working model of the software is available. We capitalize the payments made for software that we purchase or license for use in our products that has previously met the technological feasibility criteria prior to our purchase or license. Amortization of capitalized software costs is recorded over the estimated economic life, which is typically eight to ten years.</w:t>
      </w:r>
    </w:p>
    <w:p>
      <w:pPr>
        <w:spacing w:after="0" w:line="111"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For our game themes, we have determined that such products reach technological feasibility when internal testing is complete and the product is ready to be submitted to gaming regulators for approval. We incur and capitalize regulatory approval costs for our game themes after technological feasibility is achieved. Amortization of regulatory approval costs is recorded over the estimated economic life, which is typically two to four years.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Software, net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1"/>
              </w:rPr>
              <w:t>As of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76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3"/>
              </w:rPr>
              <w:t>996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552"/>
              <w:spacing w:after="0"/>
              <w:rPr>
                <w:sz w:val="20"/>
                <w:szCs w:val="20"/>
                <w:color w:val="auto"/>
              </w:rPr>
            </w:pPr>
            <w:r>
              <w:rPr>
                <w:rFonts w:ascii="Arial" w:cs="Arial" w:eastAsia="Arial" w:hAnsi="Arial"/>
                <w:sz w:val="18"/>
                <w:szCs w:val="18"/>
                <w:color w:val="auto"/>
                <w:w w:val="86"/>
              </w:rPr>
              <w:t>992</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95"/>
              </w:rPr>
              <w:t>(879)</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color w:val="auto"/>
                <w:w w:val="95"/>
              </w:rPr>
              <w:t>(849)</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net</w:t>
            </w: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3"/>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552"/>
              <w:spacing w:after="0"/>
              <w:rPr>
                <w:sz w:val="20"/>
                <w:szCs w:val="20"/>
                <w:color w:val="auto"/>
              </w:rPr>
            </w:pPr>
            <w:r>
              <w:rPr>
                <w:rFonts w:ascii="Arial" w:cs="Arial" w:eastAsia="Arial" w:hAnsi="Arial"/>
                <w:sz w:val="18"/>
                <w:szCs w:val="18"/>
                <w:color w:val="auto"/>
                <w:w w:val="86"/>
              </w:rPr>
              <w:t>143</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years ended December 31, 2021 and 2020, we capitalized $58 million and $59 million, respectively, of development expenditures.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reflects amortization of software included within D&amp;A: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w w:val="92"/>
              </w:rPr>
              <w:t>Year Ended December 31,</w:t>
            </w: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59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w w:val="95"/>
              </w:rPr>
              <w:t>2019</w:t>
            </w:r>
          </w:p>
        </w:tc>
      </w:tr>
      <w:tr>
        <w:trPr>
          <w:trHeight w:val="22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24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446"/>
        </w:trPr>
        <w:tc>
          <w:tcPr>
            <w:tcW w:w="5900" w:type="dxa"/>
            <w:vAlign w:val="bottom"/>
          </w:tcPr>
          <w:p>
            <w:pPr>
              <w:spacing w:after="0"/>
              <w:rPr>
                <w:sz w:val="20"/>
                <w:szCs w:val="20"/>
                <w:color w:val="auto"/>
              </w:rPr>
            </w:pPr>
            <w:r>
              <w:rPr>
                <w:rFonts w:ascii="Arial" w:cs="Arial" w:eastAsia="Arial" w:hAnsi="Arial"/>
                <w:sz w:val="18"/>
                <w:szCs w:val="18"/>
                <w:b w:val="1"/>
                <w:bCs w:val="1"/>
                <w:color w:val="auto"/>
              </w:rPr>
              <w:t>(13) Accrued Liabilities</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5"/>
        </w:trPr>
        <w:tc>
          <w:tcPr>
            <w:tcW w:w="5900" w:type="dxa"/>
            <w:vAlign w:val="bottom"/>
          </w:tcPr>
          <w:p>
            <w:pPr>
              <w:ind w:left="660"/>
              <w:spacing w:after="0"/>
              <w:rPr>
                <w:sz w:val="20"/>
                <w:szCs w:val="20"/>
                <w:color w:val="auto"/>
              </w:rPr>
            </w:pPr>
            <w:r>
              <w:rPr>
                <w:rFonts w:ascii="Arial" w:cs="Arial" w:eastAsia="Arial" w:hAnsi="Arial"/>
                <w:sz w:val="18"/>
                <w:szCs w:val="18"/>
                <w:color w:val="auto"/>
              </w:rPr>
              <w:t>Accrued liabilities consisted of the following:</w:t>
            </w: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8"/>
        </w:trPr>
        <w:tc>
          <w:tcPr>
            <w:tcW w:w="5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1060" w:type="dxa"/>
            <w:vAlign w:val="bottom"/>
            <w:tcBorders>
              <w:bottom w:val="single" w:sz="8" w:color="auto"/>
            </w:tcBorders>
          </w:tcPr>
          <w:p>
            <w:pPr>
              <w:spacing w:after="0"/>
              <w:rPr>
                <w:sz w:val="24"/>
                <w:szCs w:val="24"/>
                <w:color w:val="auto"/>
              </w:rPr>
            </w:pPr>
          </w:p>
        </w:tc>
      </w:tr>
      <w:tr>
        <w:trPr>
          <w:trHeight w:val="210"/>
        </w:trPr>
        <w:tc>
          <w:tcPr>
            <w:tcW w:w="59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licenses</w:t>
            </w: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Legal matters reserve</w:t>
            </w: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liability</w:t>
            </w: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Taxes, other than income</w:t>
            </w: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Customer advances, deposits and funds held on behalf of customers</w:t>
            </w: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acquisition consideration liabilities</w:t>
            </w: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48"/>
        </w:trPr>
        <w:tc>
          <w:tcPr>
            <w:tcW w:w="5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 and Other Commitments</w:t>
      </w:r>
    </w:p>
    <w:p>
      <w:pPr>
        <w:spacing w:after="0" w:line="16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Our operating leases primarily consist of real estate leases such as offices, warehouses, and research and development facilities. Our leases have remaining lease terms ranging from one year to ten years, some of which include options to extend the leases for up to five years or to terminate the leases within one year. Our finance leases are immaterial.</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and cash flow information related to operating leases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4"/>
              </w:rPr>
              <w:t>As of</w:t>
            </w:r>
          </w:p>
        </w:tc>
        <w:tc>
          <w:tcPr>
            <w:tcW w:w="1640" w:type="dxa"/>
            <w:vAlign w:val="bottom"/>
            <w:tcBorders>
              <w:bottom w:val="single" w:sz="8" w:color="auto"/>
            </w:tcBorders>
          </w:tcPr>
          <w:p>
            <w:pPr>
              <w:spacing w:after="0"/>
              <w:rPr>
                <w:sz w:val="18"/>
                <w:szCs w:val="18"/>
                <w:color w:val="auto"/>
              </w:rPr>
            </w:pPr>
          </w:p>
        </w:tc>
      </w:tr>
      <w:tr>
        <w:trPr>
          <w:trHeight w:val="210"/>
        </w:trPr>
        <w:tc>
          <w:tcPr>
            <w:tcW w:w="7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w w:val="94"/>
              </w:rPr>
              <w:t>December 31, 2021</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4"/>
              </w:rPr>
              <w:t>December 31, 2020</w:t>
            </w:r>
          </w:p>
        </w:tc>
      </w:tr>
      <w:tr>
        <w:trPr>
          <w:trHeight w:val="226"/>
        </w:trPr>
        <w:tc>
          <w:tcPr>
            <w:tcW w:w="74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Operating lease right-of-use assets</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r>
      <w:tr>
        <w:trPr>
          <w:trHeight w:val="223"/>
        </w:trPr>
        <w:tc>
          <w:tcPr>
            <w:tcW w:w="748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16</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43</w:t>
            </w:r>
          </w:p>
        </w:tc>
      </w:tr>
      <w:tr>
        <w:trPr>
          <w:trHeight w:val="22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59</w:t>
            </w:r>
          </w:p>
        </w:tc>
      </w:tr>
      <w:tr>
        <w:trPr>
          <w:trHeight w:val="21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75"/>
        </w:trPr>
        <w:tc>
          <w:tcPr>
            <w:tcW w:w="7480" w:type="dxa"/>
            <w:vAlign w:val="bottom"/>
          </w:tcPr>
          <w:p>
            <w:pPr>
              <w:ind w:left="140"/>
              <w:spacing w:after="0" w:line="176" w:lineRule="exact"/>
              <w:rPr>
                <w:sz w:val="20"/>
                <w:szCs w:val="20"/>
                <w:color w:val="auto"/>
              </w:rPr>
            </w:pPr>
            <w:r>
              <w:rPr>
                <w:rFonts w:ascii="Arial" w:cs="Arial" w:eastAsia="Arial" w:hAnsi="Arial"/>
                <w:sz w:val="18"/>
                <w:szCs w:val="18"/>
                <w:color w:val="auto"/>
              </w:rPr>
              <w:t>Operating cash flows for operating leases for the year ended December 31, 2021 and 2020,</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4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131"/>
              <w:spacing w:after="0" w:line="176" w:lineRule="exact"/>
              <w:rPr>
                <w:sz w:val="20"/>
                <w:szCs w:val="20"/>
                <w:color w:val="auto"/>
              </w:rPr>
            </w:pPr>
            <w:r>
              <w:rPr>
                <w:rFonts w:ascii="Arial" w:cs="Arial" w:eastAsia="Arial" w:hAnsi="Arial"/>
                <w:sz w:val="18"/>
                <w:szCs w:val="18"/>
                <w:color w:val="auto"/>
              </w:rPr>
              <w:t>19</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8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5 %</w:t>
            </w:r>
          </w:p>
        </w:tc>
      </w:tr>
    </w:tbl>
    <w:p>
      <w:pPr>
        <w:ind w:left="20"/>
        <w:spacing w:after="0"/>
        <w:rPr>
          <w:sz w:val="20"/>
          <w:szCs w:val="20"/>
          <w:color w:val="auto"/>
        </w:rPr>
      </w:pPr>
      <w:r>
        <w:rPr>
          <w:rFonts w:ascii="Arial" w:cs="Arial" w:eastAsia="Arial" w:hAnsi="Arial"/>
          <w:sz w:val="14"/>
          <w:szCs w:val="14"/>
          <w:color w:val="auto"/>
        </w:rPr>
        <w:t>(1) Operating lease right-of-use assets obtained in exchange for lease obligations were immaterial.</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liability maturities: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Thereafter</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Less Imputed</w:t>
            </w:r>
          </w:p>
        </w:tc>
        <w:tc>
          <w:tcPr>
            <w:tcW w:w="260" w:type="dxa"/>
            <w:vAlign w:val="bottom"/>
          </w:tcPr>
          <w:p>
            <w:pPr>
              <w:spacing w:after="0"/>
              <w:rPr>
                <w:sz w:val="16"/>
                <w:szCs w:val="16"/>
                <w:color w:val="auto"/>
              </w:rPr>
            </w:pPr>
          </w:p>
        </w:tc>
        <w:tc>
          <w:tcPr>
            <w:tcW w:w="900" w:type="dxa"/>
            <w:vAlign w:val="bottom"/>
            <w:vMerge w:val="restart"/>
          </w:tcPr>
          <w:p>
            <w:pPr>
              <w:jc w:val="right"/>
              <w:ind w:right="31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Interest</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760" w:type="dxa"/>
            <w:vAlign w:val="bottom"/>
            <w:tcBorders>
              <w:top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Our total operating lease expenses were $21 million, $23 million and $29 million for the years ended December 31, 2021, 2020 and 2019, respectively. The total amount of variable and short-term lease payments was immaterial for all periods presented.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we did not have material additional operating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auto"/>
        </w:rPr>
        <w:t>Other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401(k) plan</w:t>
      </w:r>
    </w:p>
    <w:p>
      <w:pPr>
        <w:spacing w:after="0" w:line="144"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have a 401(k) plan for U.S.-based employees. Those employees who participate in our 401(k) plan are eligible to receive matching contributions from us for the first 6% of participant contributions (as defined in the plan document). During 2020, as part of austerity measures implemented as a result of COVID-19, we temporarily eliminated 401(k) matching contributions, which was reinstated in March of 2021. Contribution expense for the years ended December 31, 2021, 2020 and 2019 amounted to $6 million, $3 million and $7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Long-Term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Debt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our outstanding debt:</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5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w w:val="90"/>
              </w:rPr>
              <w:t>As of December 31,</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31"/>
        </w:trPr>
        <w:tc>
          <w:tcPr>
            <w:tcW w:w="5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tcPr>
          <w:p>
            <w:pPr>
              <w:jc w:val="center"/>
              <w:ind w:right="140"/>
              <w:spacing w:after="0" w:line="131" w:lineRule="exact"/>
              <w:rPr>
                <w:sz w:val="20"/>
                <w:szCs w:val="20"/>
                <w:color w:val="auto"/>
              </w:rPr>
            </w:pPr>
            <w:r>
              <w:rPr>
                <w:rFonts w:ascii="Arial" w:cs="Arial" w:eastAsia="Arial" w:hAnsi="Arial"/>
                <w:sz w:val="14"/>
                <w:szCs w:val="14"/>
                <w:b w:val="1"/>
                <w:bCs w:val="1"/>
                <w:color w:val="auto"/>
                <w:w w:val="94"/>
              </w:rPr>
              <w:t>Unamortized debt</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discount/premium</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and deferred</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Final Maturity</w:t>
            </w: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Rate(s)</w:t>
            </w:r>
          </w:p>
        </w:tc>
        <w:tc>
          <w:tcPr>
            <w:tcW w:w="120" w:type="dxa"/>
            <w:vAlign w:val="bottom"/>
          </w:tcPr>
          <w:p>
            <w:pPr>
              <w:spacing w:after="0"/>
              <w:rPr>
                <w:sz w:val="11"/>
                <w:szCs w:val="11"/>
                <w:color w:val="auto"/>
              </w:rPr>
            </w:pPr>
          </w:p>
        </w:tc>
        <w:tc>
          <w:tcPr>
            <w:tcW w:w="8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0"/>
              </w:rPr>
              <w:t>Face Value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financing costs,</w:t>
            </w:r>
          </w:p>
        </w:tc>
        <w:tc>
          <w:tcPr>
            <w:tcW w:w="12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Book Value</w:t>
            </w:r>
          </w:p>
        </w:tc>
        <w:tc>
          <w:tcPr>
            <w:tcW w:w="120" w:type="dxa"/>
            <w:vAlign w:val="bottom"/>
          </w:tcPr>
          <w:p>
            <w:pPr>
              <w:spacing w:after="0"/>
              <w:rPr>
                <w:sz w:val="11"/>
                <w:szCs w:val="11"/>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1"/>
              </w:rPr>
              <w:t>Book Value</w:t>
            </w: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w:t>
            </w: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Credit Facilities:</w:t>
            </w: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ind w:left="100"/>
              <w:spacing w:after="0"/>
              <w:rPr>
                <w:sz w:val="20"/>
                <w:szCs w:val="20"/>
                <w:color w:val="auto"/>
              </w:rPr>
            </w:pPr>
            <w:r>
              <w:rPr>
                <w:rFonts w:ascii="Arial" w:cs="Arial" w:eastAsia="Arial" w:hAnsi="Arial"/>
                <w:sz w:val="18"/>
                <w:szCs w:val="18"/>
                <w:color w:val="auto"/>
              </w:rPr>
              <w:t>SGI Revolver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variable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SGI Term Loan B-5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variable</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30"/>
        </w:trPr>
        <w:tc>
          <w:tcPr>
            <w:tcW w:w="4520" w:type="dxa"/>
            <w:vAlign w:val="bottom"/>
            <w:gridSpan w:val="2"/>
          </w:tcPr>
          <w:p>
            <w:pPr>
              <w:ind w:left="100"/>
              <w:spacing w:after="0"/>
              <w:rPr>
                <w:sz w:val="20"/>
                <w:szCs w:val="20"/>
                <w:color w:val="auto"/>
              </w:rPr>
            </w:pPr>
            <w:r>
              <w:rPr>
                <w:rFonts w:ascii="Arial" w:cs="Arial" w:eastAsia="Arial" w:hAnsi="Arial"/>
                <w:sz w:val="18"/>
                <w:szCs w:val="18"/>
                <w:color w:val="auto"/>
              </w:rPr>
              <w:t>SciPlay Revolver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variable</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SGI Senior Notes:</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ind w:left="140"/>
              <w:spacing w:after="0"/>
              <w:rPr>
                <w:sz w:val="20"/>
                <w:szCs w:val="20"/>
                <w:color w:val="auto"/>
              </w:rPr>
            </w:pPr>
            <w:r>
              <w:rPr>
                <w:rFonts w:ascii="Arial" w:cs="Arial" w:eastAsia="Arial" w:hAnsi="Arial"/>
                <w:sz w:val="18"/>
                <w:szCs w:val="18"/>
                <w:color w:val="auto"/>
                <w:w w:val="89"/>
              </w:rPr>
              <w:t>2025</w:t>
            </w:r>
          </w:p>
        </w:tc>
        <w:tc>
          <w:tcPr>
            <w:tcW w:w="4000" w:type="dxa"/>
            <w:vAlign w:val="bottom"/>
          </w:tcPr>
          <w:p>
            <w:pPr>
              <w:ind w:left="20"/>
              <w:spacing w:after="0" w:line="230" w:lineRule="exact"/>
              <w:rPr>
                <w:sz w:val="20"/>
                <w:szCs w:val="20"/>
                <w:color w:val="auto"/>
              </w:rPr>
            </w:pPr>
            <w:r>
              <w:rPr>
                <w:rFonts w:ascii="Arial" w:cs="Arial" w:eastAsia="Arial" w:hAnsi="Arial"/>
                <w:sz w:val="18"/>
                <w:szCs w:val="18"/>
                <w:color w:val="auto"/>
              </w:rPr>
              <w:t>Secured Notes</w:t>
            </w:r>
            <w:r>
              <w:rPr>
                <w:rFonts w:ascii="Arial" w:cs="Arial" w:eastAsia="Arial" w:hAnsi="Arial"/>
                <w:sz w:val="23"/>
                <w:szCs w:val="23"/>
                <w:color w:val="auto"/>
                <w:vertAlign w:val="superscript"/>
              </w:rPr>
              <w:t>(1)</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2026</w:t>
            </w:r>
          </w:p>
        </w:tc>
        <w:tc>
          <w:tcPr>
            <w:tcW w:w="4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Secured Euro Notes</w:t>
            </w:r>
            <w:r>
              <w:rPr>
                <w:rFonts w:ascii="Arial" w:cs="Arial" w:eastAsia="Arial" w:hAnsi="Arial"/>
                <w:sz w:val="23"/>
                <w:szCs w:val="23"/>
                <w:color w:val="auto"/>
                <w:vertAlign w:val="superscript"/>
              </w:rPr>
              <w:t>(2)</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9"/>
        </w:trPr>
        <w:tc>
          <w:tcPr>
            <w:tcW w:w="520" w:type="dxa"/>
            <w:vAlign w:val="bottom"/>
          </w:tcPr>
          <w:p>
            <w:pPr>
              <w:ind w:left="140"/>
              <w:spacing w:after="0"/>
              <w:rPr>
                <w:sz w:val="20"/>
                <w:szCs w:val="20"/>
                <w:color w:val="auto"/>
              </w:rPr>
            </w:pPr>
            <w:r>
              <w:rPr>
                <w:rFonts w:ascii="Arial" w:cs="Arial" w:eastAsia="Arial" w:hAnsi="Arial"/>
                <w:sz w:val="18"/>
                <w:szCs w:val="18"/>
                <w:color w:val="auto"/>
                <w:w w:val="89"/>
              </w:rPr>
              <w:t>2025</w:t>
            </w:r>
          </w:p>
        </w:tc>
        <w:tc>
          <w:tcPr>
            <w:tcW w:w="4000" w:type="dxa"/>
            <w:vAlign w:val="bottom"/>
          </w:tcPr>
          <w:p>
            <w:pPr>
              <w:ind w:left="20"/>
              <w:spacing w:after="0"/>
              <w:rPr>
                <w:sz w:val="20"/>
                <w:szCs w:val="20"/>
                <w:color w:val="auto"/>
              </w:rPr>
            </w:pPr>
            <w:r>
              <w:rPr>
                <w:rFonts w:ascii="Arial" w:cs="Arial" w:eastAsia="Arial" w:hAnsi="Arial"/>
                <w:sz w:val="18"/>
                <w:szCs w:val="18"/>
                <w:color w:val="auto"/>
              </w:rPr>
              <w:t>Unsecured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8.625%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2026</w:t>
            </w:r>
          </w:p>
        </w:tc>
        <w:tc>
          <w:tcPr>
            <w:tcW w:w="4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Unsecured Euro Notes</w:t>
            </w:r>
            <w:r>
              <w:rPr>
                <w:rFonts w:ascii="Arial" w:cs="Arial" w:eastAsia="Arial" w:hAnsi="Arial"/>
                <w:sz w:val="23"/>
                <w:szCs w:val="23"/>
                <w:color w:val="auto"/>
                <w:vertAlign w:val="superscript"/>
              </w:rPr>
              <w:t>(2)</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520" w:type="dxa"/>
            <w:vAlign w:val="bottom"/>
          </w:tcPr>
          <w:p>
            <w:pPr>
              <w:ind w:left="140"/>
              <w:spacing w:after="0"/>
              <w:rPr>
                <w:sz w:val="20"/>
                <w:szCs w:val="20"/>
                <w:color w:val="auto"/>
              </w:rPr>
            </w:pPr>
            <w:r>
              <w:rPr>
                <w:rFonts w:ascii="Arial" w:cs="Arial" w:eastAsia="Arial" w:hAnsi="Arial"/>
                <w:sz w:val="18"/>
                <w:szCs w:val="18"/>
                <w:color w:val="auto"/>
                <w:w w:val="89"/>
              </w:rPr>
              <w:t>2026</w:t>
            </w:r>
          </w:p>
        </w:tc>
        <w:tc>
          <w:tcPr>
            <w:tcW w:w="4000" w:type="dxa"/>
            <w:vAlign w:val="bottom"/>
          </w:tcPr>
          <w:p>
            <w:pPr>
              <w:ind w:left="20"/>
              <w:spacing w:after="0"/>
              <w:rPr>
                <w:sz w:val="20"/>
                <w:szCs w:val="20"/>
                <w:color w:val="auto"/>
              </w:rPr>
            </w:pPr>
            <w:r>
              <w:rPr>
                <w:rFonts w:ascii="Arial" w:cs="Arial" w:eastAsia="Arial" w:hAnsi="Arial"/>
                <w:sz w:val="18"/>
                <w:szCs w:val="18"/>
                <w:color w:val="auto"/>
              </w:rPr>
              <w:t>Unsecured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8.250%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2028</w:t>
            </w: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9"/>
        </w:trPr>
        <w:tc>
          <w:tcPr>
            <w:tcW w:w="520" w:type="dxa"/>
            <w:vAlign w:val="bottom"/>
          </w:tcPr>
          <w:p>
            <w:pPr>
              <w:ind w:left="140"/>
              <w:spacing w:after="0"/>
              <w:rPr>
                <w:sz w:val="20"/>
                <w:szCs w:val="20"/>
                <w:color w:val="auto"/>
              </w:rPr>
            </w:pPr>
            <w:r>
              <w:rPr>
                <w:rFonts w:ascii="Arial" w:cs="Arial" w:eastAsia="Arial" w:hAnsi="Arial"/>
                <w:sz w:val="18"/>
                <w:szCs w:val="18"/>
                <w:color w:val="auto"/>
                <w:w w:val="89"/>
              </w:rPr>
              <w:t>2029</w:t>
            </w:r>
          </w:p>
        </w:tc>
        <w:tc>
          <w:tcPr>
            <w:tcW w:w="4000" w:type="dxa"/>
            <w:vAlign w:val="bottom"/>
          </w:tcPr>
          <w:p>
            <w:pPr>
              <w:ind w:left="20"/>
              <w:spacing w:after="0"/>
              <w:rPr>
                <w:sz w:val="20"/>
                <w:szCs w:val="20"/>
                <w:color w:val="auto"/>
              </w:rPr>
            </w:pPr>
            <w:r>
              <w:rPr>
                <w:rFonts w:ascii="Arial" w:cs="Arial" w:eastAsia="Arial" w:hAnsi="Arial"/>
                <w:sz w:val="18"/>
                <w:szCs w:val="18"/>
                <w:color w:val="auto"/>
              </w:rPr>
              <w:t>Unsecured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7.250%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Total long-term debt outstanding</w:t>
            </w: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9,303</w:t>
            </w: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current portion of long-term debt</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Long-term debt, excluding current portion</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9,259</w:t>
            </w:r>
          </w:p>
        </w:tc>
        <w:tc>
          <w:tcPr>
            <w:tcW w:w="0" w:type="dxa"/>
            <w:vAlign w:val="bottom"/>
          </w:tcPr>
          <w:p>
            <w:pPr>
              <w:spacing w:after="0"/>
              <w:rPr>
                <w:sz w:val="1"/>
                <w:szCs w:val="1"/>
                <w:color w:val="auto"/>
              </w:rPr>
            </w:pPr>
          </w:p>
        </w:tc>
      </w:tr>
      <w:tr>
        <w:trPr>
          <w:trHeight w:val="45"/>
        </w:trPr>
        <w:tc>
          <w:tcPr>
            <w:tcW w:w="520" w:type="dxa"/>
            <w:vAlign w:val="bottom"/>
            <w:tcBorders>
              <w:bottom w:val="single" w:sz="8" w:color="CCEEFF"/>
            </w:tcBorders>
          </w:tcPr>
          <w:p>
            <w:pPr>
              <w:spacing w:after="0"/>
              <w:rPr>
                <w:sz w:val="3"/>
                <w:szCs w:val="3"/>
                <w:color w:val="auto"/>
              </w:rPr>
            </w:pPr>
          </w:p>
        </w:tc>
        <w:tc>
          <w:tcPr>
            <w:tcW w:w="400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520" w:type="dxa"/>
            <w:vAlign w:val="bottom"/>
            <w:tcBorders>
              <w:top w:val="single" w:sz="8" w:color="CCEEFF"/>
              <w:bottom w:val="single" w:sz="8" w:color="CCEEFF"/>
            </w:tcBorders>
            <w:gridSpan w:val="2"/>
            <w:shd w:val="clear" w:color="auto" w:fill="CCEEFF"/>
          </w:tcPr>
          <w:p>
            <w:pPr>
              <w:ind w:left="220"/>
              <w:spacing w:after="0" w:line="190" w:lineRule="exact"/>
              <w:rPr>
                <w:sz w:val="20"/>
                <w:szCs w:val="20"/>
                <w:color w:val="auto"/>
              </w:rPr>
            </w:pPr>
            <w:r>
              <w:rPr>
                <w:rFonts w:ascii="Arial" w:cs="Arial" w:eastAsia="Arial" w:hAnsi="Arial"/>
                <w:sz w:val="17"/>
                <w:szCs w:val="17"/>
                <w:color w:val="auto"/>
              </w:rPr>
              <w:t>Fair value of debt</w:t>
            </w:r>
            <w:r>
              <w:rPr>
                <w:rFonts w:ascii="Arial" w:cs="Arial" w:eastAsia="Arial" w:hAnsi="Arial"/>
                <w:sz w:val="22"/>
                <w:szCs w:val="22"/>
                <w:color w:val="auto"/>
                <w:vertAlign w:val="superscript"/>
              </w:rPr>
              <w:t>(4)</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9,009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80" w:right="60" w:hanging="7"/>
        <w:spacing w:after="0" w:line="224" w:lineRule="auto"/>
        <w:tabs>
          <w:tab w:leader="none" w:pos="284" w:val="left"/>
        </w:tabs>
        <w:numPr>
          <w:ilvl w:val="0"/>
          <w:numId w:val="45"/>
        </w:numPr>
        <w:rPr>
          <w:rFonts w:ascii="Arial" w:cs="Arial" w:eastAsia="Arial" w:hAnsi="Arial"/>
          <w:sz w:val="14"/>
          <w:szCs w:val="14"/>
          <w:color w:val="auto"/>
        </w:rPr>
      </w:pPr>
      <w:r>
        <w:rPr>
          <w:rFonts w:ascii="Arial" w:cs="Arial" w:eastAsia="Arial" w:hAnsi="Arial"/>
          <w:sz w:val="14"/>
          <w:szCs w:val="14"/>
          <w:color w:val="auto"/>
        </w:rPr>
        <w:t>We entered into certain cross-currency interest rate swap agreements to achieve more attractive interest rates by effectively converting $460 million of the fixed-rate, U.S. Dollar-denominated 2025 Secured Notes, including the semi-annual interest payments through October 2023, to a fixed-rate Euro-denominated debt, with a fixed annual weighted average interest rate of approximately 2.946%. These cross-currency swaps have been designated as a hedge of our net investment in certain subsidiaries.</w:t>
      </w:r>
    </w:p>
    <w:p>
      <w:pPr>
        <w:spacing w:after="0" w:line="8" w:lineRule="exact"/>
        <w:rPr>
          <w:rFonts w:ascii="Arial" w:cs="Arial" w:eastAsia="Arial" w:hAnsi="Arial"/>
          <w:sz w:val="14"/>
          <w:szCs w:val="14"/>
          <w:color w:val="auto"/>
        </w:rPr>
      </w:pPr>
    </w:p>
    <w:p>
      <w:pPr>
        <w:ind w:left="80" w:right="240" w:hanging="7"/>
        <w:spacing w:after="0" w:line="215" w:lineRule="auto"/>
        <w:tabs>
          <w:tab w:leader="none" w:pos="284" w:val="left"/>
        </w:tabs>
        <w:numPr>
          <w:ilvl w:val="0"/>
          <w:numId w:val="45"/>
        </w:numPr>
        <w:rPr>
          <w:rFonts w:ascii="Arial" w:cs="Arial" w:eastAsia="Arial" w:hAnsi="Arial"/>
          <w:sz w:val="14"/>
          <w:szCs w:val="14"/>
          <w:color w:val="auto"/>
        </w:rPr>
      </w:pPr>
      <w:r>
        <w:rPr>
          <w:rFonts w:ascii="Arial" w:cs="Arial" w:eastAsia="Arial" w:hAnsi="Arial"/>
          <w:sz w:val="14"/>
          <w:szCs w:val="14"/>
          <w:color w:val="auto"/>
        </w:rPr>
        <w:t>We designated a portion of our 2026 Secured Euro Notes as a net investment non-derivative hedge of our investments in certain of our international subsidiaries that use the Euro as their functional currency in order to reduce the volatility in our operating results caused by the change in foreign currency exchange rates of the Euro relative to the U.S. Dollar (see Note 16 for additional information). The total change in the face value of the 2026 Secured Euro Notes and 2026 Unsecured Euro Notes due to changes in foreign currency exchange rates since the issuance was a reduction of $62 million, of which a gain of $41 million, a loss of $51 million and a gain of $9 million were recognized on remeasurement of debt in the Consolidated Statements of Operations for the years ended December 31, 2021, 2020, and 2019, respectively.</w:t>
      </w:r>
    </w:p>
    <w:p>
      <w:pPr>
        <w:spacing w:after="0" w:line="7" w:lineRule="exact"/>
        <w:rPr>
          <w:rFonts w:ascii="Arial" w:cs="Arial" w:eastAsia="Arial" w:hAnsi="Arial"/>
          <w:sz w:val="14"/>
          <w:szCs w:val="14"/>
          <w:color w:val="auto"/>
        </w:rPr>
      </w:pPr>
    </w:p>
    <w:p>
      <w:pPr>
        <w:ind w:left="280" w:hanging="207"/>
        <w:spacing w:after="0"/>
        <w:tabs>
          <w:tab w:leader="none" w:pos="2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Primarily comprised of certain revenue transactions presented as debt in accordance with ASC 470.</w:t>
      </w:r>
    </w:p>
    <w:p>
      <w:pPr>
        <w:spacing w:after="0" w:line="28" w:lineRule="exact"/>
        <w:rPr>
          <w:rFonts w:ascii="Arial" w:cs="Arial" w:eastAsia="Arial" w:hAnsi="Arial"/>
          <w:sz w:val="14"/>
          <w:szCs w:val="14"/>
          <w:color w:val="auto"/>
        </w:rPr>
      </w:pPr>
    </w:p>
    <w:p>
      <w:pPr>
        <w:ind w:left="280" w:hanging="207"/>
        <w:spacing w:after="0"/>
        <w:tabs>
          <w:tab w:leader="none" w:pos="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Fair value of our fixed rate and variable interest rate debt is classified within Level 2 in the fair value hierarchy and has been calculated based on the quoted market prices of our securities.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reflects the principal amount of debt and finance lease payments due over the next five years and beyond as of December 31,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Total Principal</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right"/>
              <w:ind w:right="11"/>
              <w:spacing w:after="0"/>
              <w:rPr>
                <w:sz w:val="20"/>
                <w:szCs w:val="20"/>
                <w:color w:val="auto"/>
              </w:rPr>
            </w:pPr>
            <w:r>
              <w:rPr>
                <w:rFonts w:ascii="Arial" w:cs="Arial" w:eastAsia="Arial" w:hAnsi="Arial"/>
                <w:sz w:val="16"/>
                <w:szCs w:val="16"/>
                <w:b w:val="1"/>
                <w:bCs w:val="1"/>
                <w:color w:val="auto"/>
                <w:w w:val="96"/>
              </w:rPr>
              <w:t>Principal Due per Series</w:t>
            </w:r>
          </w:p>
        </w:tc>
        <w:tc>
          <w:tcPr>
            <w:tcW w:w="0" w:type="dxa"/>
            <w:vAlign w:val="bottom"/>
          </w:tcPr>
          <w:p>
            <w:pPr>
              <w:spacing w:after="0"/>
              <w:rPr>
                <w:sz w:val="1"/>
                <w:szCs w:val="1"/>
                <w:color w:val="auto"/>
              </w:rPr>
            </w:pPr>
          </w:p>
        </w:tc>
      </w:tr>
      <w:tr>
        <w:trPr>
          <w:trHeight w:val="223"/>
        </w:trPr>
        <w:tc>
          <w:tcPr>
            <w:tcW w:w="4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Due</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Due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20" w:type="dxa"/>
            <w:vAlign w:val="bottom"/>
          </w:tcPr>
          <w:p>
            <w:pPr>
              <w:ind w:left="200"/>
              <w:spacing w:after="0"/>
              <w:rPr>
                <w:sz w:val="20"/>
                <w:szCs w:val="20"/>
                <w:color w:val="auto"/>
              </w:rPr>
            </w:pPr>
            <w:r>
              <w:rPr>
                <w:rFonts w:ascii="Arial" w:cs="Arial" w:eastAsia="Arial" w:hAnsi="Arial"/>
                <w:sz w:val="16"/>
                <w:szCs w:val="16"/>
                <w:b w:val="1"/>
                <w:bCs w:val="1"/>
                <w:color w:val="auto"/>
              </w:rPr>
              <w:t>Series of Debt/Finance lease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391"/>
              <w:spacing w:after="0"/>
              <w:rPr>
                <w:sz w:val="20"/>
                <w:szCs w:val="20"/>
                <w:color w:val="auto"/>
              </w:rPr>
            </w:pPr>
            <w:r>
              <w:rPr>
                <w:rFonts w:ascii="Arial" w:cs="Arial" w:eastAsia="Arial" w:hAnsi="Arial"/>
                <w:sz w:val="16"/>
                <w:szCs w:val="16"/>
                <w:b w:val="1"/>
                <w:bCs w:val="1"/>
                <w:color w:val="auto"/>
              </w:rPr>
              <w:t>of Debt/Lease</w:t>
            </w:r>
          </w:p>
        </w:tc>
        <w:tc>
          <w:tcPr>
            <w:tcW w:w="0" w:type="dxa"/>
            <w:vAlign w:val="bottom"/>
          </w:tcPr>
          <w:p>
            <w:pPr>
              <w:spacing w:after="0"/>
              <w:rPr>
                <w:sz w:val="1"/>
                <w:szCs w:val="1"/>
                <w:color w:val="auto"/>
              </w:rPr>
            </w:pPr>
          </w:p>
        </w:tc>
      </w:tr>
      <w:tr>
        <w:trPr>
          <w:trHeight w:val="250"/>
        </w:trPr>
        <w:tc>
          <w:tcPr>
            <w:tcW w:w="4620" w:type="dxa"/>
            <w:vAlign w:val="bottom"/>
            <w:tcBorders>
              <w:top w:val="single" w:sz="8" w:color="auto"/>
              <w:bottom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vMerge w:val="restart"/>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Loan B-5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08"/>
        </w:trPr>
        <w:tc>
          <w:tcPr>
            <w:tcW w:w="46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1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42"/>
        </w:trPr>
        <w:tc>
          <w:tcPr>
            <w:tcW w:w="46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20" w:type="dxa"/>
            <w:vAlign w:val="bottom"/>
            <w:tcBorders>
              <w:bottom w:val="single" w:sz="8" w:color="auto"/>
            </w:tcBorders>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620" w:type="dxa"/>
            <w:vAlign w:val="bottom"/>
            <w:vMerge w:val="restart"/>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Term Loan B-5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08"/>
        </w:trPr>
        <w:tc>
          <w:tcPr>
            <w:tcW w:w="4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120" w:type="dxa"/>
            <w:vAlign w:val="bottom"/>
            <w:gridSpan w:val="2"/>
            <w:vMerge w:val="restart"/>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42"/>
        </w:trPr>
        <w:tc>
          <w:tcPr>
            <w:tcW w:w="4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12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3,934</w:t>
            </w:r>
          </w:p>
        </w:tc>
        <w:tc>
          <w:tcPr>
            <w:tcW w:w="10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Loan B-5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108"/>
        </w:trPr>
        <w:tc>
          <w:tcPr>
            <w:tcW w:w="46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1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Drawn Revolving Credit Facility</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46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120" w:type="dxa"/>
            <w:vAlign w:val="bottom"/>
            <w:tcBorders>
              <w:bottom w:val="single" w:sz="8" w:color="auto"/>
            </w:tcBorders>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620" w:type="dxa"/>
            <w:vAlign w:val="bottom"/>
            <w:vMerge w:val="restart"/>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8"/>
              </w:rPr>
              <w:t>1,800</w:t>
            </w:r>
          </w:p>
        </w:tc>
        <w:tc>
          <w:tcPr>
            <w:tcW w:w="100" w:type="dxa"/>
            <w:vAlign w:val="bottom"/>
          </w:tcPr>
          <w:p>
            <w:pPr>
              <w:spacing w:after="0"/>
              <w:rPr>
                <w:sz w:val="21"/>
                <w:szCs w:val="21"/>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9"/>
              </w:rPr>
              <w:t>2025</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Secured Notes</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108"/>
        </w:trPr>
        <w:tc>
          <w:tcPr>
            <w:tcW w:w="4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500" w:type="dxa"/>
            <w:vAlign w:val="bottom"/>
            <w:gridSpan w:val="2"/>
            <w:vMerge w:val="restart"/>
          </w:tcPr>
          <w:p>
            <w:pPr>
              <w:ind w:left="120"/>
              <w:spacing w:after="0"/>
              <w:rPr>
                <w:sz w:val="20"/>
                <w:szCs w:val="20"/>
                <w:color w:val="auto"/>
              </w:rPr>
            </w:pPr>
            <w:r>
              <w:rPr>
                <w:rFonts w:ascii="Arial" w:cs="Arial" w:eastAsia="Arial" w:hAnsi="Arial"/>
                <w:sz w:val="18"/>
                <w:szCs w:val="18"/>
                <w:color w:val="auto"/>
                <w:w w:val="89"/>
              </w:rPr>
              <w:t>2025</w:t>
            </w: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Unsecured Notes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2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Secured Euro Notes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Unsecured Euro Notes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2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50"/>
        </w:trPr>
        <w:tc>
          <w:tcPr>
            <w:tcW w:w="47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7"/>
              </w:rPr>
              <w:t>2027 and beyond</w:t>
            </w:r>
          </w:p>
        </w:tc>
        <w:tc>
          <w:tcPr>
            <w:tcW w:w="800" w:type="dxa"/>
            <w:vAlign w:val="bottom"/>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8"/>
              </w:rPr>
              <w:t>1,200</w:t>
            </w:r>
          </w:p>
        </w:tc>
        <w:tc>
          <w:tcPr>
            <w:tcW w:w="100" w:type="dxa"/>
            <w:vAlign w:val="bottom"/>
          </w:tcPr>
          <w:p>
            <w:pPr>
              <w:spacing w:after="0"/>
              <w:rPr>
                <w:sz w:val="21"/>
                <w:szCs w:val="21"/>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9"/>
              </w:rPr>
              <w:t>2028</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Unsecured Notes</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108"/>
        </w:trPr>
        <w:tc>
          <w:tcPr>
            <w:tcW w:w="4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500" w:type="dxa"/>
            <w:vAlign w:val="bottom"/>
            <w:gridSpan w:val="2"/>
            <w:vMerge w:val="restart"/>
          </w:tcPr>
          <w:p>
            <w:pPr>
              <w:ind w:left="120"/>
              <w:spacing w:after="0"/>
              <w:rPr>
                <w:sz w:val="20"/>
                <w:szCs w:val="20"/>
                <w:color w:val="auto"/>
              </w:rPr>
            </w:pPr>
            <w:r>
              <w:rPr>
                <w:rFonts w:ascii="Arial" w:cs="Arial" w:eastAsia="Arial" w:hAnsi="Arial"/>
                <w:sz w:val="18"/>
                <w:szCs w:val="18"/>
                <w:color w:val="auto"/>
                <w:w w:val="89"/>
              </w:rPr>
              <w:t>2029</w:t>
            </w: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Unsecured Notes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CCEEFF"/>
            </w:tcBorders>
            <w:gridSpan w:val="2"/>
            <w:vMerge w:val="continue"/>
          </w:tcPr>
          <w:p>
            <w:pPr>
              <w:spacing w:after="0"/>
              <w:rPr>
                <w:sz w:val="12"/>
                <w:szCs w:val="12"/>
                <w:color w:val="auto"/>
              </w:rPr>
            </w:pPr>
          </w:p>
        </w:tc>
        <w:tc>
          <w:tcPr>
            <w:tcW w:w="27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Unamortized deferred financing costs and discount/premium</w:t>
            </w:r>
          </w:p>
        </w:tc>
        <w:tc>
          <w:tcPr>
            <w:tcW w:w="8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Total debt book value as of December 31, 2021</w:t>
            </w:r>
          </w:p>
        </w:tc>
        <w:tc>
          <w:tcPr>
            <w:tcW w:w="80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8,690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Outstanding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58"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SGC and certain of its subsidiaries are party to a credit agreement, dated as of October 18, 2013, by and among SGI, as the borrower, SGC, as a guarantor, Bank of America, N.A., as administrative agent, and the lenders and other agents party thereto (the “credit agreement”). As of December 31, 2021, the credit agreement included (a) a revolving credit facility of $650 million through November 20, 2024, with up to $350 million available for issuances of letters of credit and (b) a $4,018 million term B-5 loan facility that matures August 14, 2024.</w:t>
      </w:r>
    </w:p>
    <w:p>
      <w:pPr>
        <w:spacing w:after="0" w:line="9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term B-5 loans amortize in equal quarterly installments in an amount equal to 1.00% per annum of the stated principal amount thereof, with the remaining balance due at final maturity. All of the debt incurred under the revolving credit facility is subject to accelerated maturity if loans under our term B-5 loan facility remain outstanding 91 days prior to their stated maturity date of August 14, 2024 and we do not have sufficient liquidity at that time. In this case, liquidity would be based on our unrestricted cash (excluding SciPlay cash) and availability under our revolving credit facility. SGI may voluntarily prepay all or any portion of outstanding amounts under the credit agreement at any time, without premium or penalty, subject to redeployment costs in the case of a prepayment of eurocurrency loans on a day that is not the last day of the relevant interest period.</w:t>
      </w:r>
    </w:p>
    <w:p>
      <w:pPr>
        <w:spacing w:after="0" w:line="9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applicable margin for the term B-5 loans is 2.75% per annum for eurocurrency (LIBOR) loans and 1.75% per annum for base rate loans. The applicable margin for revolver borrowings is 3.00% per annum for eurocurrency (LIBOR) loans and 2.00% per annum for base rate loans. SGI is required to pay commitment fees to revolving lenders on the actual daily unused portion of the revolving commitments at a rate of 0.50% per annum through maturity, subject to a step-down to 0.375% based upon the achievement of certain net first lien leverage ratios.</w:t>
      </w:r>
    </w:p>
    <w:p>
      <w:pPr>
        <w:spacing w:after="0" w:line="104"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In July 2021, we amended our Credit Agreement to provide for additional flexibility on executing the pending transactions, to include among other items: (a) extended the time period for conversion of securities into cash for purposes of satisfying the 75% minimum cash proceeds requirement from 180 to 365 days for proceeds received from the intended disposition of our Sports Betting business (“the Disposition Transaction”), (b) amend the basket for non-cash consideration received in connection with a permitted disposition, (c) permit any capital stock received as consideration in the Disposition Transactions and (d) require that at least 25% of the net cash proceeds received from the Disposition Transactions will be used to prepay outstanding term loans within ten business days of the Disposition Transactions.</w:t>
      </w:r>
    </w:p>
    <w:p>
      <w:pPr>
        <w:spacing w:after="0" w:line="97"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On February 28, 2022, we amended our Credit Agreement to permit the Company to make restricted payments in an amount not to exceed $150 million to repurchase certain capital stock so long as it complies with certain minimum liquidity levels on a pro forma basis.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SciPlay Revolver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2" w:name="page113"/>
    <w:bookmarkEnd w:id="112"/>
    <w:p>
      <w:pPr>
        <w:ind w:firstLine="648"/>
        <w:spacing w:after="0" w:line="259" w:lineRule="auto"/>
        <w:rPr>
          <w:sz w:val="20"/>
          <w:szCs w:val="20"/>
          <w:color w:val="auto"/>
        </w:rPr>
      </w:pPr>
      <w:r>
        <w:rPr>
          <w:rFonts w:ascii="Arial" w:cs="Arial" w:eastAsia="Arial" w:hAnsi="Arial"/>
          <w:sz w:val="18"/>
          <w:szCs w:val="18"/>
          <w:color w:val="auto"/>
        </w:rPr>
        <w:t>On May 27, 2021, SciPlay Holding, a subsidiary of SciPlay, entered into the SciPlay Revolver, a $150 million revolving credit agreement, dated as of May 7, 2019, that matures in May 2024, by and among SciPlay Holding, as the borrower, SciPlay Parent LLC, as a guarantor, the subsidiary guarantors party thereto (which are all domestic entities that comprise our SciPlay business segment), the lenders party thereto and Bank of America, N.A., as administrative agent and collateral agent.</w:t>
      </w:r>
    </w:p>
    <w:p>
      <w:pPr>
        <w:spacing w:after="0" w:line="119"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interest rate is either Adjusted LIBOR (as defined in the SciPlay Revolver) plus 2.250% (with one 0.250% leverage-based step-down to the margin and one 0.250% leverage-based step-up to the margin) or ABR (as defined in the SciPlay Revolver) plus 1.250% (with one 0.250% leverage-based step-down to the margin and one 0.250% leverage-based step-up to the margin) at the option of SciPlay Holding. SciPlay Holding is required to pay to the lenders a commitment fee of 0.500% per annum on the average daily unused portion of the revolving commitments through maturity, which fee varies based on the total net leverage ratio and is subject to a floor of 0.375%. The SciPlay Revolver provides for up to $15 million in letter of credit issuances.</w:t>
      </w:r>
    </w:p>
    <w:p>
      <w:pPr>
        <w:spacing w:after="0" w:line="8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On February 28, 2022, SciPlay entered into Amendment No. 2 to the SciPlay Revolver, that among other things, (i) amends certain interest rate provisions related to Sterling-denominated revolving loans, (ii) increases SciPlay’s capacity to acquire non-loan parties and (iii) allows for the acquisition of Alictus (see Note 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2025 Secured Notes, 2026 Secured Euro Notes and 2026 Unsecured Euro Notes</w:t>
      </w:r>
    </w:p>
    <w:p>
      <w:pPr>
        <w:spacing w:after="0" w:line="144"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On February 14, 2018, SGI issued an additional $900 million aggregate principal amount of its 2025 Secured Notes, €325 million aggregate principal amount of its 2026 Secured Euro Notes and €250 million aggregate principal amount of its 2026 Unsecured Euro Notes, and entered into an amendment to our credit agreement to refinance our term loan B-4 facility and increase the term loans outstanding by $900 million under term loan B-5 facility.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2026 Unsecured Notes</w:t>
      </w:r>
    </w:p>
    <w:p>
      <w:pPr>
        <w:spacing w:after="0" w:line="158"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On March 19, 2019, SGI issued $1,100 million in aggregate principal amount of its 2026 Unsecured Notes. We used the net proceeds of the 2026 Unsecured Notes offering to redeem $1,000 million of our outstanding 2022 Unsecured Notes and pay accrued and unpaid interest thereon plus related premiums, fees, and costs, which redemption was completed on April 4, 2019, and paid related fees and expenses of the 2026 Unsecured Notes offering.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2028 and 2029 Unsecured Notes</w:t>
      </w:r>
    </w:p>
    <w:p>
      <w:pPr>
        <w:spacing w:after="0" w:line="158"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On November 26, 2019, SGI issued $700 million in aggregate principal amount of its 2028 Unsecured Notes and $500 million in aggregate principal amount of its 2029 Unsecured Notes. We used the net proceeds of the 2028 Unsecured Notes and the 2029 Unsecured Notes, together with cash on hand and borrowings under the revolving credit facility, to redeem the remaining $1,200 million of our outstanding 2022 Unsecured Notes and all $244 million of our outstanding 2020 Notes and pay accrued and unpaid interest thereon plus related premiums, fees, and costs, which redemption was completed on December 12, 2019, and paid related fees and expenses of the offering.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2025 Unsecured Notes</w:t>
      </w:r>
    </w:p>
    <w:p>
      <w:pPr>
        <w:spacing w:after="0" w:line="14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July 1, 2020, we completed the issuance of $550 million in aggregate principal amount of 8.625% senior unsecured notes due 2025 in a private offering and received total net proceeds of $543 million. We used a portion of the net proceeds to redeem all $341 million of our outstanding 2021 Notes and paid accrued and unpaid interest thereon plus related premiums, fees and costs, which redemption was completed on July 17, 2020, and used the remaining net proceeds to fund working capital and general corporate purposes.</w:t>
      </w:r>
    </w:p>
    <w:p>
      <w:pPr>
        <w:spacing w:after="0" w:line="11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sets forth the date of the indenture, redemption prices and dates and ranking, guarantees and collateral for each of our outstanding series of notes: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3" w:name="page114"/>
    <w:bookmarkEnd w:id="113"/>
    <w:tbl>
      <w:tblPr>
        <w:tblLayout w:type="fixed"/>
        <w:tblInd w:w="2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2700" w:type="dxa"/>
            <w:vAlign w:val="bottom"/>
            <w:gridSpan w:val="2"/>
            <w:vMerge w:val="restart"/>
          </w:tcPr>
          <w:p>
            <w:pPr>
              <w:ind w:left="600"/>
              <w:spacing w:after="0"/>
              <w:rPr>
                <w:sz w:val="20"/>
                <w:szCs w:val="20"/>
                <w:color w:val="auto"/>
              </w:rPr>
            </w:pPr>
            <w:r>
              <w:rPr>
                <w:rFonts w:ascii="Arial" w:cs="Arial" w:eastAsia="Arial" w:hAnsi="Arial"/>
                <w:sz w:val="16"/>
                <w:szCs w:val="16"/>
                <w:b w:val="1"/>
                <w:bCs w:val="1"/>
                <w:color w:val="auto"/>
              </w:rPr>
              <w:t>Series of Notes</w:t>
            </w:r>
          </w:p>
        </w:tc>
        <w:tc>
          <w:tcPr>
            <w:tcW w:w="2540" w:type="dxa"/>
            <w:vAlign w:val="bottom"/>
            <w:gridSpan w:val="2"/>
            <w:vMerge w:val="restart"/>
          </w:tcPr>
          <w:p>
            <w:pPr>
              <w:ind w:left="700"/>
              <w:spacing w:after="0"/>
              <w:rPr>
                <w:sz w:val="20"/>
                <w:szCs w:val="20"/>
                <w:color w:val="auto"/>
              </w:rPr>
            </w:pPr>
            <w:r>
              <w:rPr>
                <w:rFonts w:ascii="Arial" w:cs="Arial" w:eastAsia="Arial" w:hAnsi="Arial"/>
                <w:sz w:val="16"/>
                <w:szCs w:val="16"/>
                <w:b w:val="1"/>
                <w:bCs w:val="1"/>
                <w:color w:val="auto"/>
              </w:rPr>
              <w:t>Indenture Date</w:t>
            </w:r>
          </w:p>
        </w:tc>
        <w:tc>
          <w:tcPr>
            <w:tcW w:w="2840" w:type="dxa"/>
            <w:vAlign w:val="bottom"/>
            <w:gridSpan w:val="2"/>
          </w:tcPr>
          <w:p>
            <w:pPr>
              <w:ind w:left="200"/>
              <w:spacing w:after="0"/>
              <w:rPr>
                <w:sz w:val="20"/>
                <w:szCs w:val="20"/>
                <w:color w:val="auto"/>
              </w:rPr>
            </w:pPr>
            <w:r>
              <w:rPr>
                <w:rFonts w:ascii="Arial" w:cs="Arial" w:eastAsia="Arial" w:hAnsi="Arial"/>
                <w:sz w:val="16"/>
                <w:szCs w:val="16"/>
                <w:b w:val="1"/>
                <w:bCs w:val="1"/>
                <w:color w:val="auto"/>
              </w:rPr>
              <w:t>Redeemable at Make Whole Price</w:t>
            </w:r>
          </w:p>
        </w:tc>
        <w:tc>
          <w:tcPr>
            <w:tcW w:w="272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6"/>
              </w:rPr>
              <w:t>Ranking, Guarantees and Collateral</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2700" w:type="dxa"/>
            <w:vAlign w:val="bottom"/>
            <w:gridSpan w:val="2"/>
            <w:vMerge w:val="continue"/>
          </w:tcPr>
          <w:p>
            <w:pPr>
              <w:spacing w:after="0"/>
              <w:rPr>
                <w:sz w:val="19"/>
                <w:szCs w:val="19"/>
                <w:color w:val="auto"/>
              </w:rPr>
            </w:pPr>
          </w:p>
        </w:tc>
        <w:tc>
          <w:tcPr>
            <w:tcW w:w="2540" w:type="dxa"/>
            <w:vAlign w:val="bottom"/>
            <w:gridSpan w:val="2"/>
            <w:vMerge w:val="continue"/>
          </w:tcPr>
          <w:p>
            <w:pPr>
              <w:spacing w:after="0"/>
              <w:rPr>
                <w:sz w:val="19"/>
                <w:szCs w:val="19"/>
                <w:color w:val="auto"/>
              </w:rPr>
            </w:pPr>
          </w:p>
        </w:tc>
        <w:tc>
          <w:tcPr>
            <w:tcW w:w="2840" w:type="dxa"/>
            <w:vAlign w:val="bottom"/>
            <w:gridSpan w:val="2"/>
          </w:tcPr>
          <w:p>
            <w:pPr>
              <w:ind w:left="1020"/>
              <w:spacing w:after="0" w:line="230" w:lineRule="exact"/>
              <w:rPr>
                <w:sz w:val="20"/>
                <w:szCs w:val="20"/>
                <w:color w:val="auto"/>
              </w:rPr>
            </w:pPr>
            <w:r>
              <w:rPr>
                <w:rFonts w:ascii="Arial" w:cs="Arial" w:eastAsia="Arial" w:hAnsi="Arial"/>
                <w:sz w:val="16"/>
                <w:szCs w:val="16"/>
                <w:b w:val="1"/>
                <w:bCs w:val="1"/>
                <w:color w:val="auto"/>
              </w:rPr>
              <w:t>Prior To</w:t>
            </w:r>
            <w:r>
              <w:rPr>
                <w:rFonts w:ascii="Arial" w:cs="Arial" w:eastAsia="Arial" w:hAnsi="Arial"/>
                <w:sz w:val="21"/>
                <w:szCs w:val="21"/>
                <w:b w:val="1"/>
                <w:bCs w:val="1"/>
                <w:color w:val="auto"/>
                <w:vertAlign w:val="superscript"/>
              </w:rPr>
              <w:t>(1)</w:t>
            </w:r>
          </w:p>
        </w:tc>
        <w:tc>
          <w:tcPr>
            <w:tcW w:w="2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2025</w:t>
            </w:r>
          </w:p>
        </w:tc>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Secured Notes</w:t>
            </w: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17, 2017</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15, 2020</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Senior Secured</w:t>
            </w: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Arial" w:cs="Arial" w:eastAsia="Arial" w:hAnsi="Arial"/>
                <w:sz w:val="18"/>
                <w:szCs w:val="18"/>
                <w:color w:val="auto"/>
                <w:w w:val="89"/>
              </w:rPr>
              <w:t>2026</w:t>
            </w:r>
          </w:p>
        </w:tc>
        <w:tc>
          <w:tcPr>
            <w:tcW w:w="2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Secured Euro Notes</w:t>
            </w:r>
            <w:r>
              <w:rPr>
                <w:rFonts w:ascii="Arial" w:cs="Arial" w:eastAsia="Arial" w:hAnsi="Arial"/>
                <w:sz w:val="23"/>
                <w:szCs w:val="23"/>
                <w:color w:val="auto"/>
                <w:vertAlign w:val="superscript"/>
              </w:rPr>
              <w:t>(2)</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February 14, 2018</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February 15, 2021</w:t>
            </w:r>
          </w:p>
        </w:tc>
        <w:tc>
          <w:tcPr>
            <w:tcW w:w="2720" w:type="dxa"/>
            <w:vAlign w:val="bottom"/>
          </w:tcPr>
          <w:p>
            <w:pPr>
              <w:ind w:left="20"/>
              <w:spacing w:after="0"/>
              <w:rPr>
                <w:sz w:val="20"/>
                <w:szCs w:val="20"/>
                <w:color w:val="auto"/>
              </w:rPr>
            </w:pPr>
            <w:r>
              <w:rPr>
                <w:rFonts w:ascii="Arial" w:cs="Arial" w:eastAsia="Arial" w:hAnsi="Arial"/>
                <w:sz w:val="18"/>
                <w:szCs w:val="18"/>
                <w:color w:val="auto"/>
              </w:rPr>
              <w:t>Senior Secured</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2025</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2020</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2022</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w:t>
            </w:r>
          </w:p>
        </w:tc>
        <w:tc>
          <w:tcPr>
            <w:tcW w:w="0" w:type="dxa"/>
            <w:vAlign w:val="bottom"/>
          </w:tcPr>
          <w:p>
            <w:pPr>
              <w:spacing w:after="0"/>
              <w:rPr>
                <w:sz w:val="1"/>
                <w:szCs w:val="1"/>
                <w:color w:val="auto"/>
              </w:rPr>
            </w:pPr>
          </w:p>
        </w:tc>
      </w:tr>
      <w:tr>
        <w:trPr>
          <w:trHeight w:val="243"/>
        </w:trPr>
        <w:tc>
          <w:tcPr>
            <w:tcW w:w="400" w:type="dxa"/>
            <w:vAlign w:val="bottom"/>
          </w:tcPr>
          <w:p>
            <w:pPr>
              <w:jc w:val="right"/>
              <w:spacing w:after="0"/>
              <w:rPr>
                <w:sz w:val="20"/>
                <w:szCs w:val="20"/>
                <w:color w:val="auto"/>
              </w:rPr>
            </w:pPr>
            <w:r>
              <w:rPr>
                <w:rFonts w:ascii="Arial" w:cs="Arial" w:eastAsia="Arial" w:hAnsi="Arial"/>
                <w:sz w:val="18"/>
                <w:szCs w:val="18"/>
                <w:color w:val="auto"/>
                <w:w w:val="89"/>
              </w:rPr>
              <w:t>2026</w:t>
            </w:r>
          </w:p>
        </w:tc>
        <w:tc>
          <w:tcPr>
            <w:tcW w:w="270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Unsecured Euro Notes</w:t>
            </w:r>
            <w:r>
              <w:rPr>
                <w:rFonts w:ascii="Arial" w:cs="Arial" w:eastAsia="Arial" w:hAnsi="Arial"/>
                <w:sz w:val="23"/>
                <w:szCs w:val="23"/>
                <w:color w:val="auto"/>
                <w:vertAlign w:val="superscript"/>
              </w:rPr>
              <w:t>(2)</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February 14, 2018</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February 15, 2021</w:t>
            </w:r>
          </w:p>
        </w:tc>
        <w:tc>
          <w:tcPr>
            <w:tcW w:w="2720" w:type="dxa"/>
            <w:vAlign w:val="bottom"/>
          </w:tcPr>
          <w:p>
            <w:pPr>
              <w:ind w:left="20"/>
              <w:spacing w:after="0"/>
              <w:rPr>
                <w:sz w:val="20"/>
                <w:szCs w:val="20"/>
                <w:color w:val="auto"/>
              </w:rPr>
            </w:pPr>
            <w:r>
              <w:rPr>
                <w:rFonts w:ascii="Arial" w:cs="Arial" w:eastAsia="Arial" w:hAnsi="Arial"/>
                <w:sz w:val="18"/>
                <w:szCs w:val="18"/>
                <w:color w:val="auto"/>
              </w:rPr>
              <w:t>Senior Unsecured</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2026</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19, 2019</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15, 2022</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9"/>
              </w:rPr>
              <w:t>2028</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Unsecured Notes</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November 26, 2019</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May 15, 2023</w:t>
            </w:r>
          </w:p>
        </w:tc>
        <w:tc>
          <w:tcPr>
            <w:tcW w:w="2720" w:type="dxa"/>
            <w:vAlign w:val="bottom"/>
          </w:tcPr>
          <w:p>
            <w:pPr>
              <w:ind w:left="20"/>
              <w:spacing w:after="0"/>
              <w:rPr>
                <w:sz w:val="20"/>
                <w:szCs w:val="20"/>
                <w:color w:val="auto"/>
              </w:rPr>
            </w:pPr>
            <w:r>
              <w:rPr>
                <w:rFonts w:ascii="Arial" w:cs="Arial" w:eastAsia="Arial" w:hAnsi="Arial"/>
                <w:sz w:val="18"/>
                <w:szCs w:val="18"/>
                <w:color w:val="auto"/>
              </w:rPr>
              <w:t>Senior Unsecured</w:t>
            </w:r>
          </w:p>
        </w:tc>
        <w:tc>
          <w:tcPr>
            <w:tcW w:w="0" w:type="dxa"/>
            <w:vAlign w:val="bottom"/>
          </w:tcPr>
          <w:p>
            <w:pPr>
              <w:spacing w:after="0"/>
              <w:rPr>
                <w:sz w:val="1"/>
                <w:szCs w:val="1"/>
                <w:color w:val="auto"/>
              </w:rPr>
            </w:pPr>
          </w:p>
        </w:tc>
      </w:tr>
      <w:tr>
        <w:trPr>
          <w:trHeight w:val="243"/>
        </w:trPr>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2029</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26, 2019</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15, 2024</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0" w:right="160" w:hanging="1"/>
        <w:spacing w:after="0" w:line="312" w:lineRule="auto"/>
        <w:tabs>
          <w:tab w:leader="none" w:pos="244"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Refers to the date prior to which such series of notes may be redeemed at a redemption price equal to 100% of the principal amount of such notes plus accrued and unpaid interest, if any, to the date of redemption plus a “make whole” premium. On or after such date, such notes may be redeemed at the prices specified in the indenture governing such notes.</w:t>
      </w:r>
    </w:p>
    <w:p>
      <w:pPr>
        <w:spacing w:after="0" w:line="137" w:lineRule="exact"/>
        <w:rPr>
          <w:rFonts w:ascii="Arial" w:cs="Arial" w:eastAsia="Arial" w:hAnsi="Arial"/>
          <w:sz w:val="13"/>
          <w:szCs w:val="13"/>
          <w:color w:val="auto"/>
        </w:rPr>
      </w:pPr>
    </w:p>
    <w:p>
      <w:pPr>
        <w:ind w:left="240" w:hanging="201"/>
        <w:spacing w:after="0"/>
        <w:tabs>
          <w:tab w:leader="none" w:pos="2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Effective April 30, 2018, the 2026 Secured Euro Notes and 2026 Unsecured Euro Notes were listed on the Official List of The International Stock Exchange.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Ranking, guarantees and collateral</w:t>
      </w:r>
    </w:p>
    <w:p>
      <w:pPr>
        <w:spacing w:after="0" w:line="158"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Borrowings under the credit agreement and the Secured Notes are senior secured obligations of SGI, rank equally to all of SGI’s existing and future senior debt and rank senior to all of SGI’s existing and future senior subordinated debt, if any. The Unsecured Notes are senior unsecured obligations of SGI, rank equally to all of SGI’s existing and future senior debt and rank senior to all of SGI’s existing and future senior subordinated debt, if any.</w:t>
      </w:r>
    </w:p>
    <w:p>
      <w:pPr>
        <w:spacing w:after="0" w:line="81"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Borrowings under the credit agreement and the Senior Notes are guaranteed by us and each of our current and future direct and indirect wholly owned domestic subsidiaries (other than SGI, the unrestricted business entities comprising our SciPlay business segment and certain immaterial subsidiaries), subject to certain customary exceptions as set forth in the credit agreement and the indentures governing such notes. Borrowings under the credit agreement and the Senior Notes are structurally subordinated to all of the liabilities of our Non-Guarantor Subsidiaries.</w:t>
      </w:r>
    </w:p>
    <w:p>
      <w:pPr>
        <w:spacing w:after="0" w:line="7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obligations under the credit agreement and the Secured Notes are secured by a first priority lien on (1) substantially all the property and assets (real and personal, tangible and intangible) of SGI and the other guarantors, and (2) 100% of the capital stock (or other equity interests) of the direct domestic subsidiaries of SGC, SGI and the guarantors and 65% of the capital stock (or other equity interests) of the direct foreign subsidiaries of SGC, SGI and the guarantors, in each case, subject to certain customary exceptions.</w:t>
      </w:r>
    </w:p>
    <w:p>
      <w:pPr>
        <w:spacing w:after="0" w:line="11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SciPlay Revolver is secured by a (i) first priority pledge of the equity securities of SciPlay Holding, SciPlay Parent LLC’s restricted subsidiaries and each subsidiary guarantor party thereto and (ii) first priority security interests in, and mortgages on, substantially all tangible and intangible personal property and material fee-owned real property of SciPlay Parent LLC, SciPlay Holding and each subsidiary guarantor party thereto, in each case, subject to customary exceptions.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p>
    <w:p>
      <w:pPr>
        <w:spacing w:after="0" w:line="14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only financial maintenance covenant (excluding SciPlay’s Revolver) is contained in SGI’s credit agreement. Failure to comply with any of the covenants in these agreements could result in a default under these agreements and under other agreements containing cross-default provisions. Such a default would permit lenders to accelerate the maturity of the debt under these agreements and other agreements containing cross-default provisions and, in the case of the credit agreement and the indentures governing the Secured Notes, to foreclose upon any collateral securing such debt.</w:t>
      </w:r>
    </w:p>
    <w:p>
      <w:pPr>
        <w:spacing w:after="0" w:line="9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amended the consolidated net first lien leverage ratio covenant in the credit agreement with the requisite lenders under SGI’s revolving credit facility on May 8, 2020 (the “Credit Agreement Amendment”) and subsequently extended the Credit Agreement Amendment on October 8, 2020 (the “Credit Agreement Extension Amendment”) to implement a financial covenant relief period, which extends the relief period through the first quarter of 2022 (“Covenant Relief Period”). As a result, (a) SGI is not required to maintain compliance with the consolidated net first lien leverage ratio covenant during the Covenant Relief Period, (b) the step down of the consolidated net first lien leverage ratio covenant following the Covenant Relief Period was revised, (c) SGI must maintain liquidity (excluding SciPlay) of at least $275 million during the Covenant Relief Period, (d) SGI is restricted in its ability to further incur indebtedness and liens, make restricted payments and investments and prepay junior indebtedness during the Covenant Relief Period, subject to certain exceptions and further subject, in some instances, to maintaining minimum liquidity (excluding SciPlay) of at least $400 million and (e) a LIBOR floor of 0.500% was established on borrowings under the revolving credit facility during the Covenant Relief Period.</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revised consolidated net first lien leverage ratio and Consolidated EBITDA: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6"/>
          <w:szCs w:val="16"/>
          <w:b w:val="1"/>
          <w:bCs w:val="1"/>
          <w:color w:val="auto"/>
        </w:rPr>
        <w:t>Revised Consolidated Net First Lien Leverage Ratio Covenant Calculation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9"/>
              </w:rPr>
              <w:t>Period ending</w:t>
            </w:r>
          </w:p>
        </w:tc>
        <w:tc>
          <w:tcPr>
            <w:tcW w:w="3800" w:type="dxa"/>
            <w:vAlign w:val="bottom"/>
            <w:tcBorders>
              <w:top w:val="single" w:sz="8" w:color="auto"/>
            </w:tcBorders>
            <w:gridSpan w:val="2"/>
          </w:tcPr>
          <w:p>
            <w:pPr>
              <w:jc w:val="center"/>
              <w:ind w:right="80"/>
              <w:spacing w:after="0" w:line="161" w:lineRule="exact"/>
              <w:rPr>
                <w:sz w:val="20"/>
                <w:szCs w:val="20"/>
                <w:color w:val="auto"/>
              </w:rPr>
            </w:pPr>
            <w:r>
              <w:rPr>
                <w:rFonts w:ascii="Arial" w:cs="Arial" w:eastAsia="Arial" w:hAnsi="Arial"/>
                <w:sz w:val="16"/>
                <w:szCs w:val="16"/>
                <w:b w:val="1"/>
                <w:bCs w:val="1"/>
                <w:color w:val="auto"/>
                <w:w w:val="91"/>
              </w:rPr>
              <w:t>Revised Consolidated Net First Lien Leverage Ratio</w:t>
            </w:r>
          </w:p>
        </w:tc>
        <w:tc>
          <w:tcPr>
            <w:tcW w:w="3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Consolidated EBITDA multiplier</w:t>
            </w:r>
            <w:r>
              <w:rPr>
                <w:rFonts w:ascii="Arial" w:cs="Arial" w:eastAsia="Arial" w:hAnsi="Arial"/>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216"/>
        </w:trPr>
        <w:tc>
          <w:tcPr>
            <w:tcW w:w="3800" w:type="dxa"/>
            <w:vAlign w:val="bottom"/>
            <w:gridSpan w:val="2"/>
            <w:vMerge w:val="continue"/>
          </w:tcPr>
          <w:p>
            <w:pPr>
              <w:spacing w:after="0"/>
              <w:rPr>
                <w:sz w:val="18"/>
                <w:szCs w:val="18"/>
                <w:color w:val="auto"/>
              </w:rPr>
            </w:pPr>
          </w:p>
        </w:tc>
        <w:tc>
          <w:tcPr>
            <w:tcW w:w="38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Covenant</w:t>
            </w:r>
          </w:p>
        </w:tc>
        <w:tc>
          <w:tcPr>
            <w:tcW w:w="3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3/31/2022</w:t>
            </w:r>
          </w:p>
        </w:tc>
        <w:tc>
          <w:tcPr>
            <w:tcW w:w="100" w:type="dxa"/>
            <w:vAlign w:val="bottom"/>
            <w:tcBorders>
              <w:top w:val="single" w:sz="8" w:color="CCEEFF"/>
            </w:tcBorders>
            <w:shd w:val="clear" w:color="auto" w:fill="CCEEFF"/>
          </w:tcPr>
          <w:p>
            <w:pPr>
              <w:spacing w:after="0"/>
              <w:rPr>
                <w:sz w:val="19"/>
                <w:szCs w:val="19"/>
                <w:color w:val="auto"/>
              </w:rPr>
            </w:pPr>
          </w:p>
        </w:tc>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6.00x</w:t>
            </w:r>
          </w:p>
        </w:tc>
        <w:tc>
          <w:tcPr>
            <w:tcW w:w="8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4x Q1-2022</w:t>
            </w:r>
          </w:p>
        </w:tc>
        <w:tc>
          <w:tcPr>
            <w:tcW w:w="0" w:type="dxa"/>
            <w:vAlign w:val="bottom"/>
          </w:tcPr>
          <w:p>
            <w:pPr>
              <w:spacing w:after="0"/>
              <w:rPr>
                <w:sz w:val="1"/>
                <w:szCs w:val="1"/>
                <w:color w:val="auto"/>
              </w:rPr>
            </w:pPr>
          </w:p>
        </w:tc>
      </w:tr>
      <w:tr>
        <w:trPr>
          <w:trHeight w:val="229"/>
        </w:trPr>
        <w:tc>
          <w:tcPr>
            <w:tcW w:w="3700" w:type="dxa"/>
            <w:vAlign w:val="bottom"/>
          </w:tcPr>
          <w:p>
            <w:pPr>
              <w:jc w:val="center"/>
              <w:spacing w:after="0"/>
              <w:rPr>
                <w:sz w:val="20"/>
                <w:szCs w:val="20"/>
                <w:color w:val="auto"/>
              </w:rPr>
            </w:pPr>
            <w:r>
              <w:rPr>
                <w:rFonts w:ascii="Arial" w:cs="Arial" w:eastAsia="Arial" w:hAnsi="Arial"/>
                <w:sz w:val="18"/>
                <w:szCs w:val="18"/>
                <w:color w:val="auto"/>
                <w:w w:val="89"/>
              </w:rPr>
              <w:t>6/30/2022</w:t>
            </w:r>
          </w:p>
        </w:tc>
        <w:tc>
          <w:tcPr>
            <w:tcW w:w="100" w:type="dxa"/>
            <w:vAlign w:val="bottom"/>
          </w:tcPr>
          <w:p>
            <w:pPr>
              <w:spacing w:after="0"/>
              <w:rPr>
                <w:sz w:val="19"/>
                <w:szCs w:val="19"/>
                <w:color w:val="auto"/>
              </w:rPr>
            </w:pPr>
          </w:p>
        </w:tc>
        <w:tc>
          <w:tcPr>
            <w:tcW w:w="38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6.00x</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2x YTD Q2-2022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9/30/2022</w:t>
            </w:r>
          </w:p>
        </w:tc>
        <w:tc>
          <w:tcPr>
            <w:tcW w:w="1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5.75x</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1.33x YTD Q3-2022</w:t>
            </w:r>
          </w:p>
        </w:tc>
        <w:tc>
          <w:tcPr>
            <w:tcW w:w="0" w:type="dxa"/>
            <w:vAlign w:val="bottom"/>
          </w:tcPr>
          <w:p>
            <w:pPr>
              <w:spacing w:after="0"/>
              <w:rPr>
                <w:sz w:val="1"/>
                <w:szCs w:val="1"/>
                <w:color w:val="auto"/>
              </w:rPr>
            </w:pPr>
          </w:p>
        </w:tc>
      </w:tr>
      <w:tr>
        <w:trPr>
          <w:trHeight w:val="230"/>
        </w:trPr>
        <w:tc>
          <w:tcPr>
            <w:tcW w:w="3700" w:type="dxa"/>
            <w:vAlign w:val="bottom"/>
          </w:tcPr>
          <w:p>
            <w:pPr>
              <w:jc w:val="center"/>
              <w:spacing w:after="0"/>
              <w:rPr>
                <w:sz w:val="20"/>
                <w:szCs w:val="20"/>
                <w:color w:val="auto"/>
              </w:rPr>
            </w:pPr>
            <w:r>
              <w:rPr>
                <w:rFonts w:ascii="Arial" w:cs="Arial" w:eastAsia="Arial" w:hAnsi="Arial"/>
                <w:sz w:val="18"/>
                <w:szCs w:val="18"/>
                <w:color w:val="auto"/>
                <w:w w:val="90"/>
              </w:rPr>
              <w:t>12/31/2022</w:t>
            </w:r>
          </w:p>
        </w:tc>
        <w:tc>
          <w:tcPr>
            <w:tcW w:w="100" w:type="dxa"/>
            <w:vAlign w:val="bottom"/>
          </w:tcPr>
          <w:p>
            <w:pPr>
              <w:spacing w:after="0"/>
              <w:rPr>
                <w:sz w:val="20"/>
                <w:szCs w:val="20"/>
                <w:color w:val="auto"/>
              </w:rPr>
            </w:pPr>
          </w:p>
        </w:tc>
        <w:tc>
          <w:tcPr>
            <w:tcW w:w="38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5.75x</w:t>
            </w: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3/31/2023</w:t>
            </w:r>
          </w:p>
        </w:tc>
        <w:tc>
          <w:tcPr>
            <w:tcW w:w="10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5.25x</w:t>
            </w: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jc w:val="center"/>
              <w:spacing w:after="0"/>
              <w:rPr>
                <w:sz w:val="20"/>
                <w:szCs w:val="20"/>
                <w:color w:val="auto"/>
              </w:rPr>
            </w:pPr>
            <w:r>
              <w:rPr>
                <w:rFonts w:ascii="Arial" w:cs="Arial" w:eastAsia="Arial" w:hAnsi="Arial"/>
                <w:sz w:val="18"/>
                <w:szCs w:val="18"/>
                <w:color w:val="auto"/>
                <w:w w:val="89"/>
              </w:rPr>
              <w:t>6/30/2023</w:t>
            </w:r>
          </w:p>
        </w:tc>
        <w:tc>
          <w:tcPr>
            <w:tcW w:w="100" w:type="dxa"/>
            <w:vAlign w:val="bottom"/>
          </w:tcPr>
          <w:p>
            <w:pPr>
              <w:spacing w:after="0"/>
              <w:rPr>
                <w:sz w:val="21"/>
                <w:szCs w:val="21"/>
                <w:color w:val="auto"/>
              </w:rPr>
            </w:pPr>
          </w:p>
        </w:tc>
        <w:tc>
          <w:tcPr>
            <w:tcW w:w="38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5.25x</w:t>
            </w: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N/A - Calculated based on the previous 12 month</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0"/>
              </w:rPr>
              <w:t>period including the quarter being tested</w:t>
            </w: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9/30/2023</w:t>
            </w:r>
          </w:p>
        </w:tc>
        <w:tc>
          <w:tcPr>
            <w:tcW w:w="10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4.75x</w:t>
            </w:r>
          </w:p>
        </w:tc>
        <w:tc>
          <w:tcPr>
            <w:tcW w:w="3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jc w:val="center"/>
              <w:spacing w:after="0"/>
              <w:rPr>
                <w:sz w:val="20"/>
                <w:szCs w:val="20"/>
                <w:color w:val="auto"/>
              </w:rPr>
            </w:pPr>
            <w:r>
              <w:rPr>
                <w:rFonts w:ascii="Arial" w:cs="Arial" w:eastAsia="Arial" w:hAnsi="Arial"/>
                <w:sz w:val="18"/>
                <w:szCs w:val="18"/>
                <w:color w:val="auto"/>
                <w:w w:val="90"/>
              </w:rPr>
              <w:t>12/31/2023</w:t>
            </w:r>
          </w:p>
        </w:tc>
        <w:tc>
          <w:tcPr>
            <w:tcW w:w="100" w:type="dxa"/>
            <w:vAlign w:val="bottom"/>
          </w:tcPr>
          <w:p>
            <w:pPr>
              <w:spacing w:after="0"/>
              <w:rPr>
                <w:sz w:val="20"/>
                <w:szCs w:val="20"/>
                <w:color w:val="auto"/>
              </w:rPr>
            </w:pPr>
          </w:p>
        </w:tc>
        <w:tc>
          <w:tcPr>
            <w:tcW w:w="38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4.75x</w:t>
            </w: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8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3/31/2024 and thereafter</w:t>
            </w:r>
          </w:p>
        </w:tc>
        <w:tc>
          <w:tcPr>
            <w:tcW w:w="38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4.50x</w:t>
            </w: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4"/>
          <w:szCs w:val="14"/>
          <w:color w:val="auto"/>
        </w:rPr>
        <w:t>(1) Consolidated EBITDA is defined in the Credit Agreement Extension Amendment and is calculated as testing year-to-date period-end consolidated EBITDA times multiplier.</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the SciPlay Revolver requires that SciPlay maintain a maximum total net leverage ratio not to exceed 2.50x and maintain a minimum fixed charge coverage ratio of no less than 4.00x.</w:t>
      </w:r>
    </w:p>
    <w:p>
      <w:pPr>
        <w:spacing w:after="0" w:line="103" w:lineRule="exact"/>
        <w:rPr>
          <w:sz w:val="20"/>
          <w:szCs w:val="20"/>
          <w:color w:val="auto"/>
        </w:rPr>
      </w:pPr>
    </w:p>
    <w:p>
      <w:pPr>
        <w:jc w:val="both"/>
        <w:ind w:right="100" w:firstLine="648"/>
        <w:spacing w:after="0" w:line="285" w:lineRule="auto"/>
        <w:rPr>
          <w:sz w:val="20"/>
          <w:szCs w:val="20"/>
          <w:color w:val="auto"/>
        </w:rPr>
      </w:pPr>
      <w:r>
        <w:rPr>
          <w:rFonts w:ascii="Arial" w:cs="Arial" w:eastAsia="Arial" w:hAnsi="Arial"/>
          <w:sz w:val="16"/>
          <w:szCs w:val="16"/>
          <w:color w:val="auto"/>
        </w:rPr>
        <w:t>Our only financial maintenance covenant (excluding SciPlay’s Revolver) is contained in SGI’s credit agreement. Prior to the Credit Agreement Amendment dated May 8, 2020, this covenant was tested at the end of each fiscal quarter and required us to not exceed a maximum consolidated net first lien leverage ratio of 5.00x Consolidated EBITDA (as defined in the credit agreement). Prior to the Credit Agreement Amendment and Credit Agreement Extension Amendment, this ratio stepped down to 4.75x beginning with the fiscal quarter ended December 31, 2020 and to 4.50x beginning with the fiscal quarter ending December 31, 2021. Additionally, the SciPlay Revolver requires that SciPlay maintain a maximum total net leverage ratio not to exceed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2.50x and maintain a minimum fixed charge coverage ratio of no less than 4.00x. We had no amounts drawn on our SciPlay Revolver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the financial covenants under our debt agreements as of December 31,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 and Loss on Debt Financing Transactions</w:t>
      </w:r>
    </w:p>
    <w:p>
      <w:pPr>
        <w:spacing w:after="0" w:line="15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capitalize debt issuance costs associated with long-term financing arrangements and amortize the deferred debt issuance costs over the term of the arrangement using the effective interest method. The capitalized debt issuance costs associated with long-term debt financing, other than line-of-credit arrangements, are presented as a direct reduction from the carrying value of long-term debt, consistent with the treatment of unamortized debt discount. In connection with the issuance of the 2026 Unsecured Notes, 2028 Unsecured Notes and 2029 Unsecured Notes, we reflected $26 million, $16 million and $17 million, respectively, in financing costs presented primarily as a reduction to long-term debt. In connection with the July 2020 issuance of the 2025 Unsecured Notes, we reflected $8 million in financing costs presented primarily as a reduction to long-term debt.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are components of the loss on debt financing transactions resulting from debt extinguishment and modification accounting: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ind w:left="320"/>
              <w:spacing w:after="0"/>
              <w:rPr>
                <w:sz w:val="20"/>
                <w:szCs w:val="20"/>
                <w:color w:val="auto"/>
              </w:rPr>
            </w:pPr>
            <w:r>
              <w:rPr>
                <w:rFonts w:ascii="Arial" w:cs="Arial" w:eastAsia="Arial" w:hAnsi="Arial"/>
                <w:sz w:val="16"/>
                <w:szCs w:val="16"/>
                <w:b w:val="1"/>
                <w:bCs w:val="1"/>
                <w:color w:val="auto"/>
              </w:rPr>
              <w:t>Years Ended December 31,</w:t>
            </w:r>
          </w:p>
        </w:tc>
        <w:tc>
          <w:tcPr>
            <w:tcW w:w="1140" w:type="dxa"/>
            <w:vAlign w:val="bottom"/>
            <w:tcBorders>
              <w:bottom w:val="single" w:sz="8" w:color="auto"/>
            </w:tcBorders>
          </w:tcPr>
          <w:p>
            <w:pPr>
              <w:spacing w:after="0"/>
              <w:rPr>
                <w:sz w:val="18"/>
                <w:szCs w:val="18"/>
                <w:color w:val="auto"/>
              </w:rPr>
            </w:pPr>
          </w:p>
        </w:tc>
      </w:tr>
      <w:tr>
        <w:trPr>
          <w:trHeight w:val="210"/>
        </w:trPr>
        <w:tc>
          <w:tcPr>
            <w:tcW w:w="66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22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and cancellation of principal balance at premium</w:t>
            </w: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Unamortized debt (premium) discount and deferred financing costs, net</w:t>
            </w:r>
          </w:p>
        </w:tc>
        <w:tc>
          <w:tcPr>
            <w:tcW w:w="10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party debt issuance fees</w:t>
            </w: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Total loss on debt financing transactions</w:t>
            </w:r>
          </w:p>
        </w:tc>
        <w:tc>
          <w:tcPr>
            <w:tcW w:w="106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16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and liability in an orderly transaction between market participants at the measurement date. We estimate the fair value of our assets and liabilities when required using an established three-level hierarchy in accordance with ASC 820.</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15" w:name="page116"/>
    <w:bookmarkEnd w:id="115"/>
    <w:p>
      <w:pPr>
        <w:ind w:right="260" w:firstLine="648"/>
        <w:spacing w:after="0" w:line="259" w:lineRule="auto"/>
        <w:rPr>
          <w:sz w:val="20"/>
          <w:szCs w:val="20"/>
          <w:color w:val="auto"/>
        </w:rPr>
      </w:pPr>
      <w:r>
        <w:rPr>
          <w:rFonts w:ascii="Arial" w:cs="Arial" w:eastAsia="Arial" w:hAnsi="Arial"/>
          <w:sz w:val="18"/>
          <w:szCs w:val="18"/>
          <w:color w:val="auto"/>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we held the following derivative instruments that were accounted for pursuant to ASC 815: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 Contracts</w:t>
      </w:r>
    </w:p>
    <w:p>
      <w:pPr>
        <w:spacing w:after="0" w:line="15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currently use interest rate swap contracts as described below to manage exposure to interest rate fluctuations by reducing the uncertainty of future cash flows on our variable rate debt.</w:t>
      </w:r>
    </w:p>
    <w:p>
      <w:pPr>
        <w:spacing w:after="0" w:line="8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February 2018, we entered into interest rate swap contracts to hedge a portion of our interest expense associated with our variable rate debt to effectively fix the interest rate that we pay. These interest rate swap contracts are designated as cash flow hedges under ASC 815. We pay interest at a weighted-average fixed rate of 2.4418% and receive interest at a variable rate equal to one-month LIBOR. The total notional amount of interest rate swaps outstanding was $800 million as of December 31, 2021. These hedges mature in February 2022.</w:t>
      </w:r>
    </w:p>
    <w:p>
      <w:pPr>
        <w:spacing w:after="0" w:line="10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These hedges are highly effective in offsetting changes in our future expected cash flows due to the fluctuation in the one-month LIBOR rate associated with our variable rate debt. We qualitatively monitor the effectiveness of these hedges on a quarterly basis. As a result of the effective matching of the critical terms on our variable rate interest expense being hedged to the hedging instruments being used, we expect these hedges to remain highly effective.</w:t>
      </w:r>
    </w:p>
    <w:p>
      <w:pPr>
        <w:spacing w:after="0" w:line="11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All gains and losses from these hedges are recorded in Other comprehensive income (loss) until the future underlying payment transactions occur. Any realized gains or losses resulting from the hedges are recognized (together with the hedged transaction) as interest expense. We estimate the fair value of our interest rate swap contracts by discounting the future cash flows of both the fixed rate and variable rate interest payments based on market yield curves. The inputs used to measure the fair value of our interest rate swap contracts are categorized as Level 2 in the fair value hierarchy as established by ASC 820.</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gains (losses) and interest expense on our interest rate swap contracts: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10"/>
        </w:trPr>
        <w:tc>
          <w:tcPr>
            <w:tcW w:w="70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recorded in accumulated other comprehensive income (loss), net of tax</w:t>
            </w: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Interest expense recorded related to interest rate swap contracts</w:t>
            </w:r>
          </w:p>
        </w:tc>
        <w:tc>
          <w:tcPr>
            <w:tcW w:w="9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expect to reclassify material amounts from Accumulated other comprehensive loss to interest expense in the next twelve months.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effect of interest rate swap contracts designated as cash flow hedges on the consolidated statements of operations: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20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Year Ended December 31,</w:t>
            </w:r>
          </w:p>
        </w:tc>
      </w:tr>
      <w:tr>
        <w:trPr>
          <w:trHeight w:val="213"/>
        </w:trPr>
        <w:tc>
          <w:tcPr>
            <w:tcW w:w="7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194"/>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15"/>
              <w:spacing w:after="0"/>
              <w:rPr>
                <w:sz w:val="20"/>
                <w:szCs w:val="20"/>
                <w:color w:val="auto"/>
              </w:rPr>
            </w:pPr>
            <w:r>
              <w:rPr>
                <w:rFonts w:ascii="Arial" w:cs="Arial" w:eastAsia="Arial" w:hAnsi="Arial"/>
                <w:sz w:val="16"/>
                <w:szCs w:val="16"/>
                <w:b w:val="1"/>
                <w:bCs w:val="1"/>
                <w:color w:val="auto"/>
                <w:w w:val="89"/>
              </w:rPr>
              <w:t>2020</w:t>
            </w:r>
          </w:p>
        </w:tc>
      </w:tr>
      <w:tr>
        <w:trPr>
          <w:trHeight w:val="219"/>
        </w:trPr>
        <w:tc>
          <w:tcPr>
            <w:tcW w:w="7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194"/>
              <w:spacing w:after="0"/>
              <w:rPr>
                <w:sz w:val="20"/>
                <w:szCs w:val="20"/>
                <w:color w:val="auto"/>
              </w:rPr>
            </w:pPr>
            <w:r>
              <w:rPr>
                <w:rFonts w:ascii="Arial" w:cs="Arial" w:eastAsia="Arial" w:hAnsi="Arial"/>
                <w:sz w:val="16"/>
                <w:szCs w:val="16"/>
                <w:b w:val="1"/>
                <w:bCs w:val="1"/>
                <w:color w:val="auto"/>
                <w:w w:val="87"/>
              </w:rPr>
              <w:t>Interest expense</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15"/>
              <w:spacing w:after="0"/>
              <w:rPr>
                <w:sz w:val="20"/>
                <w:szCs w:val="20"/>
                <w:color w:val="auto"/>
              </w:rPr>
            </w:pPr>
            <w:r>
              <w:rPr>
                <w:rFonts w:ascii="Arial" w:cs="Arial" w:eastAsia="Arial" w:hAnsi="Arial"/>
                <w:sz w:val="16"/>
                <w:szCs w:val="16"/>
                <w:b w:val="1"/>
                <w:bCs w:val="1"/>
                <w:color w:val="auto"/>
                <w:w w:val="88"/>
              </w:rPr>
              <w:t>Interest expense</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 which reflects the effects of cash flow hedges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Hedged item</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designated as hedging instrument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Cross-Currency Interest Rate Swaps</w:t>
      </w:r>
    </w:p>
    <w:p>
      <w:pPr>
        <w:spacing w:after="0" w:line="15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entered into certain cross-currency interest rate swap agreements to achieve more beneficial interest rates by effectively converting $460 million of our fixed-rate U.S. Dollar-denominated 2025 Secured Notes, including the semi-annual interest payments through October 2023, to fixed-rate Euro-denominated debt, with a fixed annual weighted average interest rate of approximately 2.946%. We have designated these cross-currency interest rate swap agreements as a net investment hedge of our investments in certain of our international subsidiaries that use the Euro as their functional currency in order to reduce the volatility in our operating results caused by the changes in foreign currency exchange rates of the Euro relative to the U.S. Dollar.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6" w:name="page117"/>
    <w:bookmarkEnd w:id="116"/>
    <w:p>
      <w:pPr>
        <w:ind w:right="60" w:firstLine="648"/>
        <w:spacing w:after="0" w:line="301" w:lineRule="auto"/>
        <w:rPr>
          <w:sz w:val="20"/>
          <w:szCs w:val="20"/>
          <w:color w:val="auto"/>
        </w:rPr>
      </w:pPr>
      <w:r>
        <w:rPr>
          <w:rFonts w:ascii="Arial" w:cs="Arial" w:eastAsia="Arial" w:hAnsi="Arial"/>
          <w:sz w:val="16"/>
          <w:szCs w:val="16"/>
          <w:color w:val="auto"/>
        </w:rPr>
        <w:t>We use the spot method to measure the effectiveness of our net investment hedge. Under this method, for each reporting period, the change in the fair value of the $460 million cross-currency interest rate swaps is reported in foreign currency translation gain (loss) in Accumulated other comprehensive loss. The cross-currency basis spread (along with other components of the cross-currency swaps’ fair value excluded from the spot method effectiveness assessment) are amortized and recorded to Interest expense. We evaluate the effectiveness of our net investment hedge at the beginning of each quarter.</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fair value of our hedges: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As of</w:t>
            </w:r>
          </w:p>
        </w:tc>
        <w:tc>
          <w:tcPr>
            <w:tcW w:w="1780" w:type="dxa"/>
            <w:vAlign w:val="bottom"/>
            <w:tcBorders>
              <w:bottom w:val="single" w:sz="8" w:color="auto"/>
            </w:tcBorders>
          </w:tcPr>
          <w:p>
            <w:pPr>
              <w:spacing w:after="0"/>
              <w:rPr>
                <w:sz w:val="18"/>
                <w:szCs w:val="18"/>
                <w:color w:val="auto"/>
              </w:rPr>
            </w:pPr>
          </w:p>
        </w:tc>
      </w:tr>
      <w:tr>
        <w:trPr>
          <w:trHeight w:val="213"/>
        </w:trPr>
        <w:tc>
          <w:tcPr>
            <w:tcW w:w="3960" w:type="dxa"/>
            <w:vAlign w:val="bottom"/>
          </w:tcPr>
          <w:p>
            <w:pPr>
              <w:spacing w:after="0"/>
              <w:rPr>
                <w:sz w:val="18"/>
                <w:szCs w:val="18"/>
                <w:color w:val="auto"/>
              </w:rPr>
            </w:pPr>
          </w:p>
        </w:tc>
        <w:tc>
          <w:tcPr>
            <w:tcW w:w="2980" w:type="dxa"/>
            <w:vAlign w:val="bottom"/>
            <w:gridSpan w:val="2"/>
          </w:tcPr>
          <w:p>
            <w:pPr>
              <w:ind w:left="600"/>
              <w:spacing w:after="0"/>
              <w:rPr>
                <w:sz w:val="20"/>
                <w:szCs w:val="20"/>
                <w:color w:val="auto"/>
              </w:rPr>
            </w:pPr>
            <w:r>
              <w:rPr>
                <w:rFonts w:ascii="Arial" w:cs="Arial" w:eastAsia="Arial" w:hAnsi="Arial"/>
                <w:sz w:val="16"/>
                <w:szCs w:val="16"/>
                <w:b w:val="1"/>
                <w:bCs w:val="1"/>
                <w:color w:val="auto"/>
              </w:rPr>
              <w:t>Balance Sheet Line Item</w:t>
            </w:r>
          </w:p>
        </w:tc>
        <w:tc>
          <w:tcPr>
            <w:tcW w:w="24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2021</w:t>
            </w:r>
          </w:p>
        </w:tc>
        <w:tc>
          <w:tcPr>
            <w:tcW w:w="260" w:type="dxa"/>
            <w:vAlign w:val="bottom"/>
          </w:tcPr>
          <w:p>
            <w:pPr>
              <w:spacing w:after="0"/>
              <w:rPr>
                <w:sz w:val="18"/>
                <w:szCs w:val="18"/>
                <w:color w:val="auto"/>
              </w:rPr>
            </w:pPr>
          </w:p>
        </w:tc>
        <w:tc>
          <w:tcPr>
            <w:tcW w:w="1780" w:type="dxa"/>
            <w:vAlign w:val="bottom"/>
          </w:tcPr>
          <w:p>
            <w:pPr>
              <w:jc w:val="right"/>
              <w:ind w:right="273"/>
              <w:spacing w:after="0"/>
              <w:rPr>
                <w:sz w:val="20"/>
                <w:szCs w:val="20"/>
                <w:color w:val="auto"/>
              </w:rPr>
            </w:pPr>
            <w:r>
              <w:rPr>
                <w:rFonts w:ascii="Arial" w:cs="Arial" w:eastAsia="Arial" w:hAnsi="Arial"/>
                <w:sz w:val="16"/>
                <w:szCs w:val="16"/>
                <w:b w:val="1"/>
                <w:bCs w:val="1"/>
                <w:color w:val="auto"/>
                <w:w w:val="97"/>
              </w:rPr>
              <w:t>December 31, 2020</w:t>
            </w:r>
          </w:p>
        </w:tc>
      </w:tr>
      <w:tr>
        <w:trPr>
          <w:trHeight w:val="226"/>
        </w:trPr>
        <w:tc>
          <w:tcPr>
            <w:tcW w:w="396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3"/>
                <w:szCs w:val="23"/>
                <w:color w:val="auto"/>
                <w:vertAlign w:val="superscript"/>
              </w:rPr>
              <w:t>(1)(3)</w:t>
            </w:r>
          </w:p>
        </w:tc>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6"/>
        </w:trPr>
        <w:tc>
          <w:tcPr>
            <w:tcW w:w="3960" w:type="dxa"/>
            <w:vAlign w:val="bottom"/>
          </w:tcPr>
          <w:p>
            <w:pPr>
              <w:ind w:left="20"/>
              <w:spacing w:after="0" w:line="236" w:lineRule="exact"/>
              <w:rPr>
                <w:sz w:val="20"/>
                <w:szCs w:val="20"/>
                <w:color w:val="auto"/>
              </w:rPr>
            </w:pPr>
            <w:r>
              <w:rPr>
                <w:rFonts w:ascii="Arial" w:cs="Arial" w:eastAsia="Arial" w:hAnsi="Arial"/>
                <w:sz w:val="18"/>
                <w:szCs w:val="18"/>
                <w:color w:val="auto"/>
              </w:rPr>
              <w:t>Cross-currency interest rate swaps</w:t>
            </w:r>
            <w:r>
              <w:rPr>
                <w:rFonts w:ascii="Arial" w:cs="Arial" w:eastAsia="Arial" w:hAnsi="Arial"/>
                <w:sz w:val="23"/>
                <w:szCs w:val="23"/>
                <w:color w:val="auto"/>
                <w:vertAlign w:val="superscript"/>
              </w:rPr>
              <w:t>(2)(3)</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w:t>
            </w:r>
          </w:p>
        </w:tc>
      </w:tr>
    </w:tbl>
    <w:p>
      <w:pPr>
        <w:ind w:left="80" w:right="680"/>
        <w:spacing w:after="0" w:line="227" w:lineRule="auto"/>
        <w:tabs>
          <w:tab w:leader="none" w:pos="284"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gain of $19 million, losses of $6 million and $16 million for the years ended December 31, 2021, 2020 and 2019, respectively, are reflected in Derivative financial instrument unrealized (loss) gain in Other comprehensive income (loss).</w:t>
      </w:r>
    </w:p>
    <w:p>
      <w:pPr>
        <w:spacing w:after="0" w:line="7" w:lineRule="exact"/>
        <w:rPr>
          <w:rFonts w:ascii="Arial" w:cs="Arial" w:eastAsia="Arial" w:hAnsi="Arial"/>
          <w:sz w:val="14"/>
          <w:szCs w:val="14"/>
          <w:color w:val="auto"/>
        </w:rPr>
      </w:pPr>
    </w:p>
    <w:p>
      <w:pPr>
        <w:ind w:left="80" w:right="260"/>
        <w:spacing w:after="0" w:line="236" w:lineRule="auto"/>
        <w:tabs>
          <w:tab w:leader="none" w:pos="284"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gain of $28 million, loss of $27 million and gain of $23 million for the years ended December 31, 2021, 2020 and 2019, respectively, is reflected in Foreign currency translation gain (loss) in Other comprehensive income (loss).</w:t>
      </w:r>
    </w:p>
    <w:p>
      <w:pPr>
        <w:spacing w:after="0" w:line="7" w:lineRule="exact"/>
        <w:rPr>
          <w:rFonts w:ascii="Arial" w:cs="Arial" w:eastAsia="Arial" w:hAnsi="Arial"/>
          <w:sz w:val="14"/>
          <w:szCs w:val="14"/>
          <w:color w:val="auto"/>
        </w:rPr>
      </w:pPr>
    </w:p>
    <w:p>
      <w:pPr>
        <w:ind w:left="280" w:hanging="200"/>
        <w:spacing w:after="0"/>
        <w:tabs>
          <w:tab w:leader="none" w:pos="2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inputs used to measure the fair value of our interest rate swap contracts are categorized as Level 2 in the fair value hierarchy.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Non-derivative Hedge - 2026 Secured Euro Notes</w:t>
      </w:r>
    </w:p>
    <w:p>
      <w:pPr>
        <w:spacing w:after="0" w:line="14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fourth quarter of 2021, we designated $204 million of our 2026 Secured Euro Notes as a net investment non-derivative hedge of our investments in certain of our international subsidiaries that use the Euro as their functional currency in order to reduce the volatility in our results caused by the changes in foreign currency exchange rates of the Euro relative to the U.S. Dollar.</w:t>
      </w:r>
    </w:p>
    <w:p>
      <w:pPr>
        <w:spacing w:after="0" w:line="17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use the spot method to measure the effectiveness of our net investment non-derivative hedge. Under this method, for each reporting period, the change in the hedged portion of the carrying value of the 2026 Secured Euro Notes due to remeasurement is reported in Foreign currency translation gain (loss) in Other comprehensive income (loss), and the remaining remeasurement change is recognized in (Gain) loss on remeasurement of debt in our consolidated statements of operations. We evaluate the effectiveness of our net investment non-derivative hedge at the beginning of each quarter and the inputs used to measure the fair value of this non-derivative hedge are categorized as Level 2 in the fair value hierarchy.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 Liabilities</w:t>
      </w:r>
    </w:p>
    <w:p>
      <w:pPr>
        <w:spacing w:after="0" w:line="144"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In connection with our acquisitions, we have recorded certain contingent consideration liabilities, of which the values are primarily based on reaching certain earnings-based metrics. The related liabilities were recorded at fair value on the acquisition date as part of the consideration transferred and are remeasured each reporting period. The inputs used to measure the fair value of our liabilities are categorized as Level 3 in the fair value hierarchy.</w:t>
      </w:r>
    </w:p>
    <w:p>
      <w:pPr>
        <w:spacing w:after="0" w:line="9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remeasured contingent acquisition consideration at each reporting period. These remeasurements included increases to the projected earnings-based measures and also the probability of achievement (categorized as Level 3 in the fair value hierarchy as established by ASC 820), which resulted in increases (decreases) to the calculated fair value of contingent acquisition consideration by $(1) million, $— million and $1 million for the years ended December 31, 2021, 2020 and 2019, respectively. These changes were recorded in Restructuring and other. Contingent acquisition consideration liabilities (including deferred purchase price) as of December 31, 2021 are $51 million of which $3 million is included in Accrued liabilities with the remainder included in Other long-term liabilities. Contingent acquisition consideration liabilities (including deferred purchase price) as of December 31, 2020 were $3 million of which $1 million was included in Accrued liabilities with the remainder included in Other long-term liabilities.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Stockholders’ Deficit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reflects total stock-based compensation expense recognized under all programs: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3"/>
        </w:trPr>
        <w:tc>
          <w:tcPr>
            <w:tcW w:w="61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6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r>
      <w:tr>
        <w:trPr>
          <w:trHeight w:val="22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to SGC stock options</w:t>
            </w: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Related to SGC RSUs</w:t>
            </w: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to SciPlay RSUs</w:t>
            </w:r>
          </w:p>
        </w:tc>
        <w:tc>
          <w:tcPr>
            <w:tcW w:w="1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140" w:type="dxa"/>
            <w:vAlign w:val="bottom"/>
          </w:tcPr>
          <w:p>
            <w:pPr>
              <w:ind w:left="160"/>
              <w:spacing w:after="0" w:line="223" w:lineRule="exact"/>
              <w:rPr>
                <w:sz w:val="20"/>
                <w:szCs w:val="20"/>
                <w:color w:val="auto"/>
              </w:rPr>
            </w:pPr>
            <w:r>
              <w:rPr>
                <w:rFonts w:ascii="Arial" w:cs="Arial" w:eastAsia="Arial" w:hAnsi="Arial"/>
                <w:sz w:val="25"/>
                <w:szCs w:val="25"/>
                <w:color w:val="auto"/>
                <w:vertAlign w:val="subscript"/>
              </w:rPr>
              <w:t>Total</w:t>
            </w:r>
            <w:r>
              <w:rPr>
                <w:rFonts w:ascii="Arial" w:cs="Arial" w:eastAsia="Arial" w:hAnsi="Arial"/>
                <w:sz w:val="10"/>
                <w:szCs w:val="10"/>
                <w:color w:val="auto"/>
              </w:rPr>
              <w:t>(1)(2)</w:t>
            </w:r>
          </w:p>
        </w:tc>
        <w:tc>
          <w:tcPr>
            <w:tcW w:w="1120" w:type="dxa"/>
            <w:vAlign w:val="bottom"/>
            <w:tcBorders>
              <w:bottom w:val="single" w:sz="8" w:color="auto"/>
            </w:tcBorders>
          </w:tcPr>
          <w:p>
            <w:pPr>
              <w:jc w:val="right"/>
              <w:ind w:right="9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1"/>
        </w:trPr>
        <w:tc>
          <w:tcPr>
            <w:tcW w:w="6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0" w:right="400" w:firstLine="6"/>
        <w:spacing w:after="0" w:line="260" w:lineRule="auto"/>
        <w:tabs>
          <w:tab w:leader="none" w:pos="224"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increase in SGC stock-based compensation expense for the year ended December 31, 2021 is related to the acceleration of the expense as a result of attainment of certain targets for grants to consultants who are also on our board coupled with the new equity awards issued at a higher fair value given the increase in our stock price compared to the prior period.</w:t>
      </w:r>
    </w:p>
    <w:p>
      <w:pPr>
        <w:ind w:left="220" w:hanging="194"/>
        <w:spacing w:after="0"/>
        <w:tabs>
          <w:tab w:leader="none" w:pos="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year ended December 31, 2021 includes $34 million classified as liability awards.</w:t>
      </w:r>
    </w:p>
    <w:p>
      <w:pPr>
        <w:spacing w:after="0" w:line="24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the change in the number of shares of common stock outstanding during the fiscal years ended December 31, 2021 and 2020:</w:t>
      </w:r>
    </w:p>
    <w:p>
      <w:pPr>
        <w:spacing w:after="0" w:line="144"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8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 as of beginning of period</w:t>
            </w: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Shares issued as part of equity-based compensation plans and the ESPP, net of shares surrendered</w:t>
            </w:r>
          </w:p>
        </w:tc>
        <w:tc>
          <w:tcPr>
            <w:tcW w:w="1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outstanding as of end of period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Junior Participating Preferred Stock and Rights Agreement</w:t>
      </w:r>
    </w:p>
    <w:p>
      <w:pPr>
        <w:spacing w:after="0" w:line="158"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Under our 2018 Amended and Restated Rights Agreement (which amended the rights agreement between SGC and American Stock Transfer &amp; Trust Company, LLC (the “Rights Agreement”), we reserved for issuance of 20,000 shares of Series A Junior Participating Preferred Stock, par</w:t>
      </w:r>
    </w:p>
    <w:p>
      <w:pPr>
        <w:ind w:right="100"/>
        <w:spacing w:after="0" w:line="253" w:lineRule="auto"/>
        <w:rPr>
          <w:sz w:val="20"/>
          <w:szCs w:val="20"/>
          <w:color w:val="auto"/>
        </w:rPr>
      </w:pPr>
      <w:r>
        <w:rPr>
          <w:rFonts w:ascii="Arial" w:cs="Arial" w:eastAsia="Arial" w:hAnsi="Arial"/>
          <w:sz w:val="18"/>
          <w:szCs w:val="18"/>
          <w:color w:val="auto"/>
        </w:rPr>
        <w:t>value $.001 per share, upon the exercise of rights under our Amended and Restated Rights Agreement. The Amended and Restated Rights Agreement provides for a dividend of one preferred share purchase right (“Right”) for each share of common stock of SGC. Each Right entitles the holder to purchase one ten-thousandth of a share of Series A Junior Preferred Stock for a purchase price of $109.00, subject to adjustment as provided in the Amended and Restated Rights Agreement.</w:t>
      </w:r>
    </w:p>
    <w:p>
      <w:pPr>
        <w:spacing w:after="0" w:line="125" w:lineRule="exact"/>
        <w:rPr>
          <w:sz w:val="20"/>
          <w:szCs w:val="20"/>
          <w:color w:val="auto"/>
        </w:rPr>
      </w:pPr>
    </w:p>
    <w:p>
      <w:pPr>
        <w:ind w:right="120" w:firstLine="648"/>
        <w:spacing w:after="0" w:line="262" w:lineRule="auto"/>
        <w:rPr>
          <w:sz w:val="20"/>
          <w:szCs w:val="20"/>
          <w:color w:val="auto"/>
        </w:rPr>
      </w:pPr>
      <w:r>
        <w:rPr>
          <w:rFonts w:ascii="Arial" w:cs="Arial" w:eastAsia="Arial" w:hAnsi="Arial"/>
          <w:sz w:val="17"/>
          <w:szCs w:val="17"/>
          <w:color w:val="auto"/>
        </w:rPr>
        <w:t>The Amended and Restated Rights Agreement was extended to expire on June 19, 2023 (subject to earlier expiration as described in the Rights Agreement). The Board submitted such amendment extending the Rights Agreement to a vote by the Company’s stockholders at the Company’s 2021 annual stockholders’ meeting and it was approved by the affirmative vote of holders of a majority of outstanding shares of Class A common stock of SGC entitled to vote thereon. As of December 31, 2021, none of these shares were outstanding and no Rights were exercised.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Scientific Games Stock-Based and Other Incentive Compensation</w:t>
      </w:r>
    </w:p>
    <w:p>
      <w:pPr>
        <w:spacing w:after="0" w:line="15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Pursuant to our incentive stock plans we offer stock-based compensation in the form of stock options and RSUs to employees and our non-employee directors. The terms of such stock option and RSU awards, including the vesting schedule of such awards, are determined at our discretion subject to the terms of the applicable equity-based compensation plan. We also offer an ESPP, which allows for a total of up to 2 million shares of common stock to be purchased by eligible employees under offerings made each January 1 and July 1. Employees participate through payroll deductions up to a maximum of 15% of eligible compensation. The term of each offering period is six months and shares are purchased on the last day of the offering period at a 15% discount to the stock’s market value. For offering periods in 2021, 2020 and 2019 we issued approximately 40 thousand, 80 thousand and 100 thousand shares of common stock at an average price of $60.09 per share, $19.55 per share and $19.32 per share, respectively.</w:t>
      </w:r>
    </w:p>
    <w:p>
      <w:pPr>
        <w:spacing w:after="0" w:line="9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Options granted over the last several years have generally become exercisable in four equal installments beginning on the first anniversary of the date of grant or when certain performance targets are determined to have been met, in all cases, with a maximum term of ten years. RSUs typically vest in three or four equal installments beginning on the first anniversary of the date of grant or when certain performance targets are determined to have been met.</w:t>
      </w:r>
    </w:p>
    <w:p>
      <w:pPr>
        <w:spacing w:after="0" w:line="68"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6"/>
          <w:szCs w:val="16"/>
          <w:color w:val="auto"/>
        </w:rPr>
        <w:t>We recognize expense for stock-based compensation plans based on the estimated fair value of the related awards in accordance with ASC 718. Stock options are granted with exercise prices that are not less than the fair market value of our common stock on the date of grant. We periodically grant certain stock-based awards that are contingent upon SGC or certain of our subsidiaries achieving certain pre-determined financial performance targets.</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Upon determining that the performance target is probable, the fair value of the award is recognized over the service period. Determining the probability of achieving a performance target requires estimates and judgment.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18" w:name="page119"/>
    <w:bookmarkEnd w:id="118"/>
    <w:p>
      <w:pPr>
        <w:ind w:right="20" w:firstLine="648"/>
        <w:spacing w:after="0" w:line="259" w:lineRule="auto"/>
        <w:rPr>
          <w:sz w:val="20"/>
          <w:szCs w:val="20"/>
          <w:color w:val="auto"/>
        </w:rPr>
      </w:pPr>
      <w:r>
        <w:rPr>
          <w:rFonts w:ascii="Arial" w:cs="Arial" w:eastAsia="Arial" w:hAnsi="Arial"/>
          <w:sz w:val="18"/>
          <w:szCs w:val="18"/>
          <w:color w:val="auto"/>
        </w:rPr>
        <w:t>As of December 31, 2021, we had approximately 27 million shares of common stock authorized for awards under the 2003 Incentive Compensation Plan, as amended and restated (the “2003 Plan”) (plus available shares from a pre-existing equity-based compensation plan). As of December 31, 2021, we had approximately 5 million shares reserved under the 2003 Plan for future grants of equity awards and less than 0.1 million shares available under a pre-existing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 options outstanding under our equity-based compensation plans during 2021 is presented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Weighted Average</w:t>
            </w:r>
          </w:p>
        </w:tc>
        <w:tc>
          <w:tcPr>
            <w:tcW w:w="15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Weighted Average</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Aggregate Intrinsic</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Number of Options</w:t>
            </w:r>
          </w:p>
        </w:tc>
        <w:tc>
          <w:tcPr>
            <w:tcW w:w="158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3"/>
              </w:rPr>
              <w:t>Remaining Contract</w:t>
            </w:r>
          </w:p>
        </w:tc>
        <w:tc>
          <w:tcPr>
            <w:tcW w:w="1540" w:type="dxa"/>
            <w:vAlign w:val="bottom"/>
            <w:gridSpan w:val="3"/>
          </w:tcPr>
          <w:p>
            <w:pPr>
              <w:jc w:val="right"/>
              <w:ind w:right="160"/>
              <w:spacing w:after="0" w:line="162" w:lineRule="exact"/>
              <w:rPr>
                <w:sz w:val="20"/>
                <w:szCs w:val="20"/>
                <w:color w:val="auto"/>
              </w:rPr>
            </w:pPr>
            <w:r>
              <w:rPr>
                <w:rFonts w:ascii="Arial" w:cs="Arial" w:eastAsia="Arial" w:hAnsi="Arial"/>
                <w:sz w:val="16"/>
                <w:szCs w:val="16"/>
                <w:b w:val="1"/>
                <w:bCs w:val="1"/>
                <w:color w:val="auto"/>
                <w:w w:val="94"/>
              </w:rPr>
              <w:t>Exercise Price (per</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Term (Years)</w:t>
            </w:r>
          </w:p>
        </w:tc>
        <w:tc>
          <w:tcPr>
            <w:tcW w:w="30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share)</w:t>
            </w:r>
          </w:p>
        </w:tc>
        <w:tc>
          <w:tcPr>
            <w:tcW w:w="340" w:type="dxa"/>
            <w:vAlign w:val="bottom"/>
          </w:tcPr>
          <w:p>
            <w:pPr>
              <w:spacing w:after="0"/>
              <w:rPr>
                <w:sz w:val="18"/>
                <w:szCs w:val="18"/>
                <w:color w:val="auto"/>
              </w:rPr>
            </w:pPr>
          </w:p>
        </w:tc>
        <w:tc>
          <w:tcPr>
            <w:tcW w:w="1140" w:type="dxa"/>
            <w:vAlign w:val="bottom"/>
          </w:tcPr>
          <w:p>
            <w:pPr>
              <w:jc w:val="right"/>
              <w:ind w:right="451"/>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31, 2020</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87"/>
              </w:rPr>
              <w:t>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1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74.16</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Cancelled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41.13</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31, 2021</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87"/>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Options exercisable as of December 31, 2021</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tcBorders>
              <w:bottom w:val="single" w:sz="8" w:color="CCEEFF"/>
            </w:tcBorders>
            <w:vMerge w:val="continue"/>
          </w:tcPr>
          <w:p>
            <w:pPr>
              <w:spacing w:after="0"/>
              <w:rPr>
                <w:sz w:val="17"/>
                <w:szCs w:val="17"/>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ind w:left="1240"/>
              <w:spacing w:after="0" w:line="203" w:lineRule="exact"/>
              <w:rPr>
                <w:sz w:val="20"/>
                <w:szCs w:val="20"/>
                <w:color w:val="auto"/>
              </w:rPr>
            </w:pPr>
            <w:r>
              <w:rPr>
                <w:rFonts w:ascii="Arial" w:cs="Arial" w:eastAsia="Arial" w:hAnsi="Arial"/>
                <w:sz w:val="18"/>
                <w:szCs w:val="18"/>
                <w:color w:val="auto"/>
                <w:w w:val="87"/>
              </w:rPr>
              <w:t>5.1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2"/>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34.19</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expected to vest as of December 31, 2021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87"/>
              </w:rPr>
              <w:t>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weighted-average grant date fair value of options granted during 2021, 2020 and 2019 was $74.16, $35.41 and $22.25, respectively. The aggregate intrinsic value of the options exercised during the years ended December 31, 2021, 2020 and 2019 was approximately $7 million, $6 million and $15 million respectively.</w:t>
      </w:r>
    </w:p>
    <w:p>
      <w:pPr>
        <w:spacing w:after="0" w:line="116"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The weighted-average assumptions used in the model are outlined in the following table: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40" w:type="dxa"/>
            <w:vAlign w:val="bottom"/>
            <w:gridSpan w:val="2"/>
          </w:tcPr>
          <w:p>
            <w:pPr>
              <w:ind w:left="6980"/>
              <w:spacing w:after="0"/>
              <w:rPr>
                <w:sz w:val="20"/>
                <w:szCs w:val="20"/>
                <w:color w:val="auto"/>
              </w:rPr>
            </w:pPr>
            <w:r>
              <w:rPr>
                <w:rFonts w:ascii="Arial" w:cs="Arial" w:eastAsia="Arial" w:hAnsi="Arial"/>
                <w:sz w:val="16"/>
                <w:szCs w:val="16"/>
                <w:b w:val="1"/>
                <w:bCs w:val="1"/>
                <w:color w:val="auto"/>
                <w:w w:val="95"/>
              </w:rPr>
              <w:t>2021</w:t>
            </w:r>
          </w:p>
        </w:tc>
        <w:tc>
          <w:tcPr>
            <w:tcW w:w="16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1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Assumptions:</w:t>
            </w: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7340" w:type="dxa"/>
            <w:vAlign w:val="bottom"/>
            <w:gridSpan w:val="2"/>
          </w:tcPr>
          <w:p>
            <w:pPr>
              <w:ind w:left="140"/>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7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0.96 %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0.36 %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r>
      <w:tr>
        <w:trPr>
          <w:trHeight w:val="230"/>
        </w:trPr>
        <w:tc>
          <w:tcPr>
            <w:tcW w:w="7340" w:type="dxa"/>
            <w:vAlign w:val="bottom"/>
            <w:gridSpan w:val="2"/>
          </w:tcPr>
          <w:p>
            <w:pPr>
              <w:ind w:left="140"/>
              <w:spacing w:after="0"/>
              <w:rPr>
                <w:sz w:val="20"/>
                <w:szCs w:val="20"/>
                <w:color w:val="auto"/>
              </w:rPr>
            </w:pPr>
            <w:r>
              <w:rPr>
                <w:rFonts w:ascii="Arial" w:cs="Arial" w:eastAsia="Arial" w:hAnsi="Arial"/>
                <w:sz w:val="18"/>
                <w:szCs w:val="18"/>
                <w:color w:val="auto"/>
              </w:rPr>
              <w:t>Dividend yield</w:t>
            </w:r>
          </w:p>
        </w:tc>
        <w:tc>
          <w:tcPr>
            <w:tcW w:w="1660" w:type="dxa"/>
            <w:vAlign w:val="bottom"/>
            <w:gridSpan w:val="3"/>
          </w:tcPr>
          <w:p>
            <w:pPr>
              <w:jc w:val="right"/>
              <w:ind w:right="1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Expected life (in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1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computation of the expected volatility is based on historical daily stock prices over a period commensurate with the expected life of the option. Expected life is based on annual historical employee exercise behavior of option grants with similar vesting periods and option expiration dates. The risk-free interest rate is based on the yield of zero-coupon U.S. Treasury securities of comparable terms. We do not anticipate paying dividends in the foreseeable future.</w:t>
      </w:r>
    </w:p>
    <w:p>
      <w:pPr>
        <w:spacing w:after="0" w:line="11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At December 31, 2021, we had $2 million of unrecognized stock-based compensation expense relating to unvested stock options that will be amortized over a weighted-average period of approximately two years. During the year ended December 31, 2021, we received $4 million in cash from the exercise of stock options.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RSUs outstanding under our equity-based compensation plans during 2021 is presented below: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9" w:name="page120"/>
    <w:bookmarkEnd w:id="119"/>
    <w:tbl>
      <w:tblPr>
        <w:tblLayout w:type="fixed"/>
        <w:tblInd w:w="8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20" w:type="dxa"/>
            <w:vAlign w:val="bottom"/>
          </w:tcPr>
          <w:p>
            <w:pPr>
              <w:spacing w:after="0"/>
              <w:rPr>
                <w:sz w:val="16"/>
                <w:szCs w:val="16"/>
                <w:color w:val="auto"/>
              </w:rPr>
            </w:pPr>
          </w:p>
        </w:tc>
        <w:tc>
          <w:tcPr>
            <w:tcW w:w="1200" w:type="dxa"/>
            <w:vAlign w:val="bottom"/>
          </w:tcPr>
          <w:p>
            <w:pPr>
              <w:jc w:val="center"/>
              <w:ind w:right="134"/>
              <w:spacing w:after="0"/>
              <w:rPr>
                <w:sz w:val="20"/>
                <w:szCs w:val="20"/>
                <w:color w:val="auto"/>
              </w:rPr>
            </w:pPr>
            <w:r>
              <w:rPr>
                <w:rFonts w:ascii="Arial" w:cs="Arial" w:eastAsia="Arial" w:hAnsi="Arial"/>
                <w:sz w:val="16"/>
                <w:szCs w:val="16"/>
                <w:b w:val="1"/>
                <w:bCs w:val="1"/>
                <w:color w:val="auto"/>
                <w:w w:val="91"/>
              </w:rPr>
              <w:t>Weighted</w:t>
            </w:r>
          </w:p>
        </w:tc>
      </w:tr>
      <w:tr>
        <w:trPr>
          <w:trHeight w:val="162"/>
        </w:trPr>
        <w:tc>
          <w:tcPr>
            <w:tcW w:w="8240" w:type="dxa"/>
            <w:vAlign w:val="bottom"/>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Restricted</w:t>
            </w:r>
          </w:p>
        </w:tc>
        <w:tc>
          <w:tcPr>
            <w:tcW w:w="220" w:type="dxa"/>
            <w:vAlign w:val="bottom"/>
          </w:tcPr>
          <w:p>
            <w:pPr>
              <w:spacing w:after="0"/>
              <w:rPr>
                <w:sz w:val="14"/>
                <w:szCs w:val="14"/>
                <w:color w:val="auto"/>
              </w:rPr>
            </w:pPr>
          </w:p>
        </w:tc>
        <w:tc>
          <w:tcPr>
            <w:tcW w:w="1200" w:type="dxa"/>
            <w:vAlign w:val="bottom"/>
          </w:tcPr>
          <w:p>
            <w:pPr>
              <w:jc w:val="center"/>
              <w:ind w:right="134"/>
              <w:spacing w:after="0" w:line="162" w:lineRule="exact"/>
              <w:rPr>
                <w:sz w:val="20"/>
                <w:szCs w:val="20"/>
                <w:color w:val="auto"/>
              </w:rPr>
            </w:pPr>
            <w:r>
              <w:rPr>
                <w:rFonts w:ascii="Arial" w:cs="Arial" w:eastAsia="Arial" w:hAnsi="Arial"/>
                <w:sz w:val="16"/>
                <w:szCs w:val="16"/>
                <w:b w:val="1"/>
                <w:bCs w:val="1"/>
                <w:color w:val="auto"/>
                <w:w w:val="91"/>
              </w:rPr>
              <w:t>Average</w:t>
            </w:r>
          </w:p>
        </w:tc>
      </w:tr>
      <w:tr>
        <w:trPr>
          <w:trHeight w:val="162"/>
        </w:trPr>
        <w:tc>
          <w:tcPr>
            <w:tcW w:w="8240" w:type="dxa"/>
            <w:vAlign w:val="bottom"/>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7"/>
              </w:rPr>
              <w:t>Stock</w:t>
            </w:r>
          </w:p>
        </w:tc>
        <w:tc>
          <w:tcPr>
            <w:tcW w:w="220" w:type="dxa"/>
            <w:vAlign w:val="bottom"/>
          </w:tcPr>
          <w:p>
            <w:pPr>
              <w:spacing w:after="0"/>
              <w:rPr>
                <w:sz w:val="14"/>
                <w:szCs w:val="14"/>
                <w:color w:val="auto"/>
              </w:rPr>
            </w:pPr>
          </w:p>
        </w:tc>
        <w:tc>
          <w:tcPr>
            <w:tcW w:w="1200" w:type="dxa"/>
            <w:vAlign w:val="bottom"/>
          </w:tcPr>
          <w:p>
            <w:pPr>
              <w:jc w:val="center"/>
              <w:ind w:right="134"/>
              <w:spacing w:after="0" w:line="162" w:lineRule="exact"/>
              <w:rPr>
                <w:sz w:val="20"/>
                <w:szCs w:val="20"/>
                <w:color w:val="auto"/>
              </w:rPr>
            </w:pPr>
            <w:r>
              <w:rPr>
                <w:rFonts w:ascii="Arial" w:cs="Arial" w:eastAsia="Arial" w:hAnsi="Arial"/>
                <w:sz w:val="16"/>
                <w:szCs w:val="16"/>
                <w:b w:val="1"/>
                <w:bCs w:val="1"/>
                <w:color w:val="auto"/>
                <w:w w:val="95"/>
              </w:rPr>
              <w:t>Grant Date</w:t>
            </w:r>
          </w:p>
        </w:tc>
      </w:tr>
      <w:tr>
        <w:trPr>
          <w:trHeight w:val="213"/>
        </w:trPr>
        <w:tc>
          <w:tcPr>
            <w:tcW w:w="824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Units</w:t>
            </w:r>
          </w:p>
        </w:tc>
        <w:tc>
          <w:tcPr>
            <w:tcW w:w="220" w:type="dxa"/>
            <w:vAlign w:val="bottom"/>
          </w:tcPr>
          <w:p>
            <w:pPr>
              <w:spacing w:after="0"/>
              <w:rPr>
                <w:sz w:val="18"/>
                <w:szCs w:val="18"/>
                <w:color w:val="auto"/>
              </w:rPr>
            </w:pPr>
          </w:p>
        </w:tc>
        <w:tc>
          <w:tcPr>
            <w:tcW w:w="1200" w:type="dxa"/>
            <w:vAlign w:val="bottom"/>
          </w:tcPr>
          <w:p>
            <w:pPr>
              <w:jc w:val="center"/>
              <w:ind w:right="134"/>
              <w:spacing w:after="0"/>
              <w:rPr>
                <w:sz w:val="20"/>
                <w:szCs w:val="20"/>
                <w:color w:val="auto"/>
              </w:rPr>
            </w:pPr>
            <w:r>
              <w:rPr>
                <w:rFonts w:ascii="Arial" w:cs="Arial" w:eastAsia="Arial" w:hAnsi="Arial"/>
                <w:sz w:val="16"/>
                <w:szCs w:val="16"/>
                <w:b w:val="1"/>
                <w:bCs w:val="1"/>
                <w:color w:val="auto"/>
                <w:w w:val="96"/>
              </w:rPr>
              <w:t>Fair Value</w:t>
            </w:r>
          </w:p>
        </w:tc>
      </w:tr>
      <w:tr>
        <w:trPr>
          <w:trHeight w:val="226"/>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RSUs as of December 31, 2020</w:t>
            </w:r>
          </w:p>
        </w:tc>
        <w:tc>
          <w:tcPr>
            <w:tcW w:w="1340" w:type="dxa"/>
            <w:vAlign w:val="bottom"/>
            <w:tcBorders>
              <w:top w:val="single" w:sz="8" w:color="auto"/>
            </w:tcBorders>
            <w:shd w:val="clear" w:color="auto" w:fill="CCEEFF"/>
          </w:tcPr>
          <w:p>
            <w:pPr>
              <w:jc w:val="center"/>
              <w:ind w:left="874"/>
              <w:spacing w:after="0"/>
              <w:rPr>
                <w:sz w:val="20"/>
                <w:szCs w:val="20"/>
                <w:color w:val="auto"/>
              </w:rPr>
            </w:pPr>
            <w:r>
              <w:rPr>
                <w:rFonts w:ascii="Arial" w:cs="Arial" w:eastAsia="Arial" w:hAnsi="Arial"/>
                <w:sz w:val="18"/>
                <w:szCs w:val="18"/>
                <w:color w:val="auto"/>
                <w:w w:val="87"/>
              </w:rPr>
              <w:t>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center"/>
              <w:ind w:left="874"/>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55.64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40" w:type="dxa"/>
            <w:vAlign w:val="bottom"/>
            <w:shd w:val="clear" w:color="auto" w:fill="CCEEFF"/>
          </w:tcPr>
          <w:p>
            <w:pPr>
              <w:jc w:val="center"/>
              <w:ind w:left="854"/>
              <w:spacing w:after="0"/>
              <w:rPr>
                <w:sz w:val="20"/>
                <w:szCs w:val="20"/>
                <w:color w:val="auto"/>
              </w:rPr>
            </w:pPr>
            <w:r>
              <w:rPr>
                <w:rFonts w:ascii="Arial" w:cs="Arial" w:eastAsia="Arial" w:hAnsi="Arial"/>
                <w:sz w:val="18"/>
                <w:szCs w:val="18"/>
                <w:color w:val="auto"/>
                <w:w w:val="97"/>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w:t>
            </w:r>
          </w:p>
        </w:tc>
        <w:tc>
          <w:tcPr>
            <w:tcW w:w="1340" w:type="dxa"/>
            <w:vAlign w:val="bottom"/>
            <w:tcBorders>
              <w:bottom w:val="single" w:sz="8" w:color="auto"/>
            </w:tcBorders>
          </w:tcPr>
          <w:p>
            <w:pPr>
              <w:jc w:val="center"/>
              <w:ind w:left="854"/>
              <w:spacing w:after="0"/>
              <w:rPr>
                <w:sz w:val="20"/>
                <w:szCs w:val="20"/>
                <w:color w:val="auto"/>
              </w:rPr>
            </w:pPr>
            <w:r>
              <w:rPr>
                <w:rFonts w:ascii="Arial" w:cs="Arial" w:eastAsia="Arial" w:hAnsi="Arial"/>
                <w:sz w:val="18"/>
                <w:szCs w:val="18"/>
                <w:color w:val="auto"/>
                <w:w w:val="97"/>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r>
      <w:tr>
        <w:trPr>
          <w:trHeight w:val="248"/>
        </w:trPr>
        <w:tc>
          <w:tcPr>
            <w:tcW w:w="82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Unvested RSUs as of December 31, 2021</w:t>
            </w:r>
            <w:r>
              <w:rPr>
                <w:rFonts w:ascii="Arial" w:cs="Arial" w:eastAsia="Arial" w:hAnsi="Arial"/>
                <w:sz w:val="23"/>
                <w:szCs w:val="23"/>
                <w:color w:val="auto"/>
                <w:vertAlign w:val="superscript"/>
              </w:rPr>
              <w:t>(1)</w:t>
            </w:r>
          </w:p>
        </w:tc>
        <w:tc>
          <w:tcPr>
            <w:tcW w:w="1340" w:type="dxa"/>
            <w:vAlign w:val="bottom"/>
            <w:tcBorders>
              <w:bottom w:val="single" w:sz="8" w:color="auto"/>
            </w:tcBorders>
            <w:shd w:val="clear" w:color="auto" w:fill="CCEEFF"/>
          </w:tcPr>
          <w:p>
            <w:pPr>
              <w:jc w:val="center"/>
              <w:ind w:left="874"/>
              <w:spacing w:after="0"/>
              <w:rPr>
                <w:sz w:val="20"/>
                <w:szCs w:val="20"/>
                <w:color w:val="auto"/>
              </w:rPr>
            </w:pPr>
            <w:r>
              <w:rPr>
                <w:rFonts w:ascii="Arial" w:cs="Arial" w:eastAsia="Arial" w:hAnsi="Arial"/>
                <w:sz w:val="18"/>
                <w:szCs w:val="18"/>
                <w:color w:val="auto"/>
                <w:w w:val="87"/>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 1 million unvested RSUs are related to discontinued operations for each of the years ended December 31, 2021 and 2020.</w:t>
      </w:r>
    </w:p>
    <w:p>
      <w:pPr>
        <w:spacing w:after="0" w:line="2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weighted-average grant date fair value of RSUs granted during 2021 and 2020 was $55.64 and $13.75, respectively. The fair value of each RSU grant is based on the market value of our common stock at the time of grant. At December 31, 2021, we had $60 million of unrecognized stock-based compensation expense relating to unvested RSUs amortized over a weighted-average period of approximately two years, of which $12 million is related to employees of discontinued operations. The fair value at vesting date of RSUs vested during the years ended December 31, 2021, 2020 and 2019 was $87.5 million, $16.8 million and $22.0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SciPlay Stock-Based Compensation</w:t>
      </w:r>
    </w:p>
    <w:p>
      <w:pPr>
        <w:spacing w:after="0" w:line="15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In 2019, SciPlay adopted the SciPlay Long-Term Incentive Plan (“SciPlay LTIP”). The SciPlay LTIP authorizes the issuance of up to 6.5 million shares of SciPlay’s Class A common stock to be granted in connection with awards of incentive and nonqualified stock options, restricted stock, RSUs, stock appreciation rights and performance-based awards. As of December 31, 2021, there were a total of 2.1 million time-based and performance-based SciPlay RSUs outstanding with an average grant price of $16.77 per share of SciPlay Class A common stock. As of December 31, 2021, SciPlay had $9 million in unrecognized stock-based compensation expense that is expected to be recognized over a weighted-average expected vesting period of one year.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5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February 25, 2022, our Board of Directors approved a share repurchase program under which the Company is authorized to repurchase, from time to time through February 25, 2025, up to an aggregate amount of $750 million of our outstanding common stock over a three-year period. Repurchases may be made at the discretion of the Transaction Committee of the Board of Directors through one or more open market transactions, privately negotiated transactions, accelerated share repurchases, issuer tender offers or other derivative contracts or instruments, or a combination of the foregoing.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Loss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accumulated balances for each classification of other comprehensive (loss) income are presented below:</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100" w:type="dxa"/>
            <w:vAlign w:val="bottom"/>
            <w:vMerge w:val="restart"/>
          </w:tcPr>
          <w:p>
            <w:pPr>
              <w:jc w:val="center"/>
              <w:ind w:left="338"/>
              <w:spacing w:after="0"/>
              <w:rPr>
                <w:sz w:val="20"/>
                <w:szCs w:val="20"/>
                <w:color w:val="auto"/>
              </w:rPr>
            </w:pPr>
            <w:r>
              <w:rPr>
                <w:rFonts w:ascii="Arial" w:cs="Arial" w:eastAsia="Arial" w:hAnsi="Arial"/>
                <w:sz w:val="14"/>
                <w:szCs w:val="14"/>
                <w:b w:val="1"/>
                <w:bCs w:val="1"/>
                <w:color w:val="auto"/>
                <w:w w:val="93"/>
              </w:rPr>
              <w:t>Foreign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center"/>
              <w:ind w:left="238"/>
              <w:spacing w:after="0"/>
              <w:rPr>
                <w:sz w:val="20"/>
                <w:szCs w:val="20"/>
                <w:color w:val="auto"/>
              </w:rPr>
            </w:pPr>
            <w:r>
              <w:rPr>
                <w:rFonts w:ascii="Arial" w:cs="Arial" w:eastAsia="Arial" w:hAnsi="Arial"/>
                <w:sz w:val="14"/>
                <w:szCs w:val="14"/>
                <w:b w:val="1"/>
                <w:bCs w:val="1"/>
                <w:color w:val="auto"/>
                <w:w w:val="95"/>
              </w:rPr>
              <w:t>Derivative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left="259"/>
              <w:spacing w:after="0"/>
              <w:rPr>
                <w:sz w:val="20"/>
                <w:szCs w:val="20"/>
                <w:color w:val="auto"/>
              </w:rPr>
            </w:pPr>
            <w:r>
              <w:rPr>
                <w:rFonts w:ascii="Arial" w:cs="Arial" w:eastAsia="Arial" w:hAnsi="Arial"/>
                <w:sz w:val="14"/>
                <w:szCs w:val="14"/>
                <w:b w:val="1"/>
                <w:bCs w:val="1"/>
                <w:color w:val="auto"/>
                <w:w w:val="90"/>
              </w:rPr>
              <w:t>Unrecognized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left="259"/>
              <w:spacing w:after="0" w:line="135" w:lineRule="exact"/>
              <w:rPr>
                <w:sz w:val="20"/>
                <w:szCs w:val="20"/>
                <w:color w:val="auto"/>
              </w:rPr>
            </w:pPr>
            <w:r>
              <w:rPr>
                <w:rFonts w:ascii="Arial" w:cs="Arial" w:eastAsia="Arial" w:hAnsi="Arial"/>
                <w:sz w:val="14"/>
                <w:szCs w:val="14"/>
                <w:b w:val="1"/>
                <w:bCs w:val="1"/>
                <w:color w:val="auto"/>
                <w:w w:val="89"/>
              </w:rPr>
              <w:t>pension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100" w:type="dxa"/>
            <w:vAlign w:val="bottom"/>
          </w:tcPr>
          <w:p>
            <w:pPr>
              <w:jc w:val="center"/>
              <w:ind w:left="358"/>
              <w:spacing w:after="0" w:line="135" w:lineRule="exact"/>
              <w:rPr>
                <w:sz w:val="20"/>
                <w:szCs w:val="20"/>
                <w:color w:val="auto"/>
              </w:rPr>
            </w:pPr>
            <w:r>
              <w:rPr>
                <w:rFonts w:ascii="Arial" w:cs="Arial" w:eastAsia="Arial" w:hAnsi="Arial"/>
                <w:sz w:val="14"/>
                <w:szCs w:val="14"/>
                <w:b w:val="1"/>
                <w:bCs w:val="1"/>
                <w:color w:val="auto"/>
                <w:w w:val="94"/>
              </w:rPr>
              <w:t>Currency</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58"/>
              <w:spacing w:after="0" w:line="135" w:lineRule="exact"/>
              <w:rPr>
                <w:sz w:val="20"/>
                <w:szCs w:val="20"/>
                <w:color w:val="auto"/>
              </w:rPr>
            </w:pPr>
            <w:r>
              <w:rPr>
                <w:rFonts w:ascii="Arial" w:cs="Arial" w:eastAsia="Arial" w:hAnsi="Arial"/>
                <w:sz w:val="14"/>
                <w:szCs w:val="14"/>
                <w:b w:val="1"/>
                <w:bCs w:val="1"/>
                <w:color w:val="auto"/>
                <w:w w:val="95"/>
              </w:rPr>
              <w:t>Financial</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left="259"/>
              <w:spacing w:after="0" w:line="135" w:lineRule="exact"/>
              <w:rPr>
                <w:sz w:val="20"/>
                <w:szCs w:val="20"/>
                <w:color w:val="auto"/>
              </w:rPr>
            </w:pPr>
            <w:r>
              <w:rPr>
                <w:rFonts w:ascii="Arial" w:cs="Arial" w:eastAsia="Arial" w:hAnsi="Arial"/>
                <w:sz w:val="14"/>
                <w:szCs w:val="14"/>
                <w:b w:val="1"/>
                <w:bCs w:val="1"/>
                <w:color w:val="auto"/>
                <w:w w:val="88"/>
              </w:rPr>
              <w:t>benefit costs,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9"/>
        </w:trPr>
        <w:tc>
          <w:tcPr>
            <w:tcW w:w="45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58"/>
              <w:spacing w:after="0"/>
              <w:rPr>
                <w:sz w:val="20"/>
                <w:szCs w:val="20"/>
                <w:color w:val="auto"/>
              </w:rPr>
            </w:pPr>
            <w:r>
              <w:rPr>
                <w:rFonts w:ascii="Arial" w:cs="Arial" w:eastAsia="Arial" w:hAnsi="Arial"/>
                <w:sz w:val="14"/>
                <w:szCs w:val="14"/>
                <w:b w:val="1"/>
                <w:bCs w:val="1"/>
                <w:color w:val="auto"/>
                <w:w w:val="92"/>
              </w:rPr>
              <w:t>Items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258"/>
              <w:spacing w:after="0" w:line="189" w:lineRule="exact"/>
              <w:rPr>
                <w:sz w:val="20"/>
                <w:szCs w:val="20"/>
                <w:color w:val="auto"/>
              </w:rPr>
            </w:pPr>
            <w:r>
              <w:rPr>
                <w:rFonts w:ascii="Arial" w:cs="Arial" w:eastAsia="Arial" w:hAnsi="Arial"/>
                <w:sz w:val="14"/>
                <w:szCs w:val="14"/>
                <w:b w:val="1"/>
                <w:bCs w:val="1"/>
                <w:color w:val="auto"/>
                <w:w w:val="90"/>
              </w:rPr>
              <w:t>Instruments</w:t>
            </w:r>
            <w:r>
              <w:rPr>
                <w:rFonts w:ascii="Arial" w:cs="Arial" w:eastAsia="Arial" w:hAnsi="Arial"/>
                <w:sz w:val="18"/>
                <w:szCs w:val="18"/>
                <w:b w:val="1"/>
                <w:bCs w:val="1"/>
                <w:color w:val="auto"/>
                <w:w w:val="90"/>
                <w:vertAlign w:val="superscript"/>
              </w:rPr>
              <w:t>(1)</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59"/>
              <w:spacing w:after="0" w:line="189" w:lineRule="exact"/>
              <w:rPr>
                <w:sz w:val="20"/>
                <w:szCs w:val="20"/>
                <w:color w:val="auto"/>
              </w:rPr>
            </w:pPr>
            <w:r>
              <w:rPr>
                <w:rFonts w:ascii="Arial" w:cs="Arial" w:eastAsia="Arial" w:hAnsi="Arial"/>
                <w:sz w:val="14"/>
                <w:szCs w:val="14"/>
                <w:b w:val="1"/>
                <w:bCs w:val="1"/>
                <w:color w:val="auto"/>
                <w:w w:val="86"/>
              </w:rPr>
              <w:t>net of taxes</w:t>
            </w:r>
            <w:r>
              <w:rPr>
                <w:rFonts w:ascii="Arial" w:cs="Arial" w:eastAsia="Arial" w:hAnsi="Arial"/>
                <w:sz w:val="18"/>
                <w:szCs w:val="18"/>
                <w:b w:val="1"/>
                <w:bCs w:val="1"/>
                <w:color w:val="auto"/>
                <w:w w:val="86"/>
                <w:vertAlign w:val="superscript"/>
              </w:rPr>
              <w:t>(2)</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Change during period</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(11)</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Reclassified into operations</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100" w:type="dxa"/>
            <w:vAlign w:val="bottom"/>
            <w:tcBorders>
              <w:top w:val="single" w:sz="8" w:color="auto"/>
              <w:bottom w:val="single" w:sz="8" w:color="auto"/>
            </w:tcBorders>
          </w:tcPr>
          <w:p>
            <w:pPr>
              <w:jc w:val="right"/>
              <w:ind w:right="918"/>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(256)</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58"/>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during period</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Reclassified into operations</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10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58"/>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Change during period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(74)</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Reclassified into operations</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100" w:type="dxa"/>
            <w:vAlign w:val="bottom"/>
            <w:tcBorders>
              <w:top w:val="single" w:sz="8" w:color="auto"/>
              <w:bottom w:val="single" w:sz="8" w:color="auto"/>
            </w:tcBorders>
          </w:tcPr>
          <w:p>
            <w:pPr>
              <w:jc w:val="right"/>
              <w:ind w:right="918"/>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(245)</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58"/>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80" w:hanging="207"/>
        <w:spacing w:after="0"/>
        <w:tabs>
          <w:tab w:leader="none" w:pos="2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change during the period is net of income taxes of $15 million, $— million and $4 million in 2021, 2020 and 2019, respectively.</w:t>
      </w:r>
    </w:p>
    <w:p>
      <w:pPr>
        <w:spacing w:after="0" w:line="28" w:lineRule="exact"/>
        <w:rPr>
          <w:rFonts w:ascii="Arial" w:cs="Arial" w:eastAsia="Arial" w:hAnsi="Arial"/>
          <w:sz w:val="14"/>
          <w:szCs w:val="14"/>
          <w:color w:val="auto"/>
        </w:rPr>
      </w:pPr>
    </w:p>
    <w:p>
      <w:pPr>
        <w:ind w:left="280" w:hanging="207"/>
        <w:spacing w:after="0"/>
        <w:tabs>
          <w:tab w:leader="none" w:pos="2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change during the period is net of income taxes of $5 million, $— million and $1 million in 2021, 2020 and 2019,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4" w:right="379" w:bottom="1440" w:gutter="0" w:footer="0" w:header="0"/>
        </w:sectPr>
      </w:pPr>
    </w:p>
    <w:bookmarkStart w:id="120" w:name="page121"/>
    <w:bookmarkEnd w:id="120"/>
    <w:p>
      <w:pPr>
        <w:ind w:right="20" w:firstLine="648"/>
        <w:spacing w:after="0" w:line="259" w:lineRule="auto"/>
        <w:rPr>
          <w:sz w:val="20"/>
          <w:szCs w:val="20"/>
          <w:color w:val="auto"/>
        </w:rPr>
      </w:pPr>
      <w:r>
        <w:rPr>
          <w:rFonts w:ascii="Arial" w:cs="Arial" w:eastAsia="Arial" w:hAnsi="Arial"/>
          <w:sz w:val="18"/>
          <w:szCs w:val="18"/>
          <w:color w:val="auto"/>
        </w:rPr>
        <w:t>Income taxes are determined using the liability method of accounting for income taxes, under which deferred tax assets (“DTAs”) and deferred tax liabilities (“DTLs”) are recognized for the expected future tax consequences of temporary differences between the financial reporting and tax basis of assets and liabilities. If, based upon all available evidence, both positive and negative, it is more likely than not that such DTAs will not be realized, a valuation allowance is recorded.</w:t>
      </w:r>
    </w:p>
    <w:p>
      <w:pPr>
        <w:spacing w:after="0" w:line="11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As more fully described in Note 1, on September 27, 2021, we entered into a definitive agreement to sell our Sports Betting business to Endeavor in a taxable cash and stock transaction, expected to close in the second quarter of 2022, subject to applicable regulatory approvals and customary conditions. Although we remain in a three-year cumulative loss position in the U.S., the taxable gain to be recognized upon disposition of our Sports Betting business led us to conclude that a portion of our net U.S. federal and certain state DTAs are more likely than not to be realized. Accordingly, to the extent that we expect to realize deferred tax assets in relation to this divestiture, we recorded a $181 million income tax benefit and reversed a portion of our valuation allowances on our U.S. DTAs during the three months ended September 30, 2021.</w:t>
      </w:r>
    </w:p>
    <w:p>
      <w:pPr>
        <w:spacing w:after="0" w:line="97"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On October 27, 2021, we entered into a definitive agreement to sell our Lottery business to Brookfield in a taxable cash transaction for total consideration of $6.05 billion (see Note 1 for additional details). As a result of the anticipated taxable gain on this transaction, which is now expected to close by the end of March 2022, subject to applicable regulatory approvals and customary conditions, we reversed an additional $71 million of valuation allowances on our U.S. federal and state DTAs. We continue to maintain other valuation allowances for certain U.S. and non-U.S. jurisdictions with cumulative losses.</w:t>
      </w:r>
    </w:p>
    <w:p>
      <w:pPr>
        <w:spacing w:after="0" w:line="12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Management assessed the available positive and negative evidence to estimate whether sufficient future taxable income will be generated to permit use of existing DTAs in each taxpaying jurisdiction. On the basis of this evaluation, as of December 31, 2021, a valuation allowance of $60 million has been recorded to recognize only the portion of the DTAs that are more likely than not to be realized; however, the amount of the DTAs considered realizable could be adjusted if estimates of future taxable income during the carry forward period change or if objective negative evidence in the form of cumulative losses is no longer present and additional weight is given to subjective evidence such as projections for future growth.</w:t>
      </w:r>
    </w:p>
    <w:p>
      <w:pPr>
        <w:spacing w:after="0" w:line="10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discussed in Note 1, the COVID-19 disruptions significantly impacted certain segments of our business. We considered the COVID-19 disruptions in our ability to realize deferred tax assets in the future and determined that such conditions did not change our overall valuation allowance positions. Additionally, we continue to monitor and evaluate the tax implications resulting from any existing and forthcoming legislation passed in response to COVID-19 in the federal, state, and foreign jurisdictions where we have an income tax presence.</w:t>
      </w:r>
    </w:p>
    <w:p>
      <w:pPr>
        <w:spacing w:after="0" w:line="9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apply a recognition threshold and measurement attribute related to uncertain tax positions taken or expected to be taken on our tax returns. We recognize a tax benefit for financial reporting of an uncertain income tax position when it has a greater than 50% likelihood of being sustained upon examination by the taxing authorities. We measure the tax benefit of an uncertain tax position based on the largest benefit that has a greater than 50% likelihood of being ultimately realized including evaluation of settlements.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loss from continuing operations before income taxes are as follows:</w:t>
      </w:r>
    </w:p>
    <w:p>
      <w:pPr>
        <w:spacing w:after="0" w:line="19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 before income tax expense</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1" w:name="page122"/>
    <w:bookmarkEnd w:id="121"/>
    <w:tbl>
      <w:tblPr>
        <w:tblLayout w:type="fixed"/>
        <w:tblInd w:w="8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State</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Deferred</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Federal</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900" w:type="dxa"/>
            <w:vAlign w:val="bottom"/>
          </w:tcPr>
          <w:p>
            <w:pPr>
              <w:ind w:left="240"/>
              <w:spacing w:after="0"/>
              <w:rPr>
                <w:sz w:val="20"/>
                <w:szCs w:val="20"/>
                <w:color w:val="auto"/>
              </w:rPr>
            </w:pPr>
            <w:r>
              <w:rPr>
                <w:rFonts w:ascii="Arial" w:cs="Arial" w:eastAsia="Arial" w:hAnsi="Arial"/>
                <w:sz w:val="18"/>
                <w:szCs w:val="18"/>
                <w:color w:val="auto"/>
              </w:rPr>
              <w:t>U.S. State</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benefit</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the U.S. federal statutory tax rate to the actual tax rate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380" w:type="dxa"/>
            <w:vAlign w:val="bottom"/>
            <w:tcBorders>
              <w:bottom w:val="single" w:sz="8" w:color="auto"/>
            </w:tcBorders>
            <w:gridSpan w:val="5"/>
          </w:tcPr>
          <w:p>
            <w:pPr>
              <w:ind w:left="134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Foreign earnings at rates different than U.S. federal rate</w:t>
            </w: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 adjustments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Permanent items</w:t>
            </w: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UTBs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Goodwill impairments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12.5 %</w:t>
            </w:r>
          </w:p>
        </w:tc>
      </w:tr>
      <w:tr>
        <w:trPr>
          <w:trHeight w:val="20"/>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Our 2021 and 2020 effective tax rates were impacted by changes in global valuation allowances totaling $(253) million and $138 million, respectively, against net DTAs in various jurisdictions. In 2020 we recorded a $54 million goodwill impairment for our U.K. Gaming reporting unit, which resulted in a (1.5)% decrease in our effective tax rate.</w:t>
      </w:r>
    </w:p>
    <w:p>
      <w:pPr>
        <w:spacing w:after="0" w:line="107"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 2019, we recorded an income tax benefit of $50 million in continuing operations as a result of the exception provision within ASC 740-20-45-7, which states that a company must consider all sources of income in determining the tax benefit resulting from a loss from continuing operations. This exception no longer applies as of January 1, 2020, as we early-adopted ASU 2019-12, which removes this exception.</w:t>
      </w:r>
    </w:p>
    <w:p>
      <w:pPr>
        <w:spacing w:after="0" w:line="97"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Deferred income taxes reflect the net tax effects of temporary differences between the carrying values of assets and liabilities for financial reporting purposes and the amounts used for income tax purposes. The deferred income tax balances are established using the enacted statutory tax rates and are adjusted for changes in such rates in the period of change.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711"/>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71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2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Reserves and other accrued expenses</w:t>
            </w:r>
          </w:p>
        </w:tc>
        <w:tc>
          <w:tcPr>
            <w:tcW w:w="2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carry forwards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Tax credit carry forwards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limitation carry forwards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Differences in financial reporting and tax basis for: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Less: Valuation allowance</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Realizable deferred tax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50"/>
        </w:trPr>
        <w:tc>
          <w:tcPr>
            <w:tcW w:w="7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Differences in financial reporting and tax basis for: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intangible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71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 on balance sheet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830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9820" w:type="dxa"/>
            <w:vAlign w:val="bottom"/>
            <w:gridSpan w:val="8"/>
          </w:tcPr>
          <w:p>
            <w:pPr>
              <w:ind w:left="660"/>
              <w:spacing w:after="0"/>
              <w:rPr>
                <w:sz w:val="20"/>
                <w:szCs w:val="20"/>
                <w:color w:val="auto"/>
              </w:rPr>
            </w:pPr>
            <w:r>
              <w:rPr>
                <w:rFonts w:ascii="Arial" w:cs="Arial" w:eastAsia="Arial" w:hAnsi="Arial"/>
                <w:sz w:val="18"/>
                <w:szCs w:val="18"/>
                <w:color w:val="auto"/>
                <w:w w:val="98"/>
              </w:rPr>
              <w:t>At December 31, 2021, we had the following NOL, interest limitation, R&amp;D credit, and state tax credit carry forwards: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9"/>
        </w:trPr>
        <w:tc>
          <w:tcPr>
            <w:tcW w:w="7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ind w:right="250"/>
              <w:spacing w:after="0"/>
              <w:rPr>
                <w:sz w:val="20"/>
                <w:szCs w:val="20"/>
                <w:color w:val="auto"/>
              </w:rPr>
            </w:pPr>
            <w:r>
              <w:rPr>
                <w:rFonts w:ascii="Arial" w:cs="Arial" w:eastAsia="Arial" w:hAnsi="Arial"/>
                <w:sz w:val="16"/>
                <w:szCs w:val="16"/>
                <w:b w:val="1"/>
                <w:bCs w:val="1"/>
                <w:color w:val="auto"/>
                <w:w w:val="95"/>
              </w:rPr>
              <w:t>December 31, 2021</w:t>
            </w:r>
          </w:p>
        </w:tc>
        <w:tc>
          <w:tcPr>
            <w:tcW w:w="1060" w:type="dxa"/>
            <w:vAlign w:val="bottom"/>
            <w:tcBorders>
              <w:bottom w:val="single" w:sz="8" w:color="auto"/>
            </w:tcBorders>
          </w:tcPr>
          <w:p>
            <w:pPr>
              <w:spacing w:after="0"/>
              <w:rPr>
                <w:sz w:val="24"/>
                <w:szCs w:val="24"/>
                <w:color w:val="auto"/>
              </w:rPr>
            </w:pPr>
          </w:p>
        </w:tc>
      </w:tr>
      <w:tr>
        <w:trPr>
          <w:trHeight w:val="210"/>
        </w:trPr>
        <w:tc>
          <w:tcPr>
            <w:tcW w:w="7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6"/>
                <w:szCs w:val="16"/>
                <w:b w:val="1"/>
                <w:bCs w:val="1"/>
                <w:color w:val="auto"/>
              </w:rPr>
              <w:t>Federal</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State</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Foreign</w:t>
            </w:r>
          </w:p>
        </w:tc>
      </w:tr>
      <w:tr>
        <w:trPr>
          <w:trHeight w:val="22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NOL carry forwards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Interest limitation carry forwards</w:t>
            </w:r>
          </w:p>
        </w:tc>
        <w:tc>
          <w:tcPr>
            <w:tcW w:w="2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 and state credit carry forwards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federal, state and foreign NOL carry forwards can be carried forward for periods that vary from three years to indefinitely. R&amp;D tax credit carry forwards will expire through 2041, and state tax credits expire through 2025. The interest limitation carry forwards can be carried forward indefinitely in all jurisdictions in which we have them available.</w:t>
      </w:r>
    </w:p>
    <w:p>
      <w:pPr>
        <w:spacing w:after="0" w:line="116"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Certain of our U.S. federal, state, and foreign tax attributes may be subject to annual limitations under Internal Revenue Code Section 382 (“Section 382”) (or comparable provisions of state or foreign law) in the event that certain changes in ownership were to occur. Tax attributes that exceed the Section 382 limitation in any year continue to be allowed as carry forwards until they expire and can be used to offset taxable income for years within the carryover period subject to the limitation in each year. Given the Company’s significant U.S. tax attributes, we continuously monitor potential ownership changes under Section 382. In the fourth quarter of 2020, we experienced a change in control event, triggering the application of Section 382. We do not currently expect any resulting Section 382 limitations to have a significant impact on the use of our tax attributes.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2021 and 2020, we had the following valuation allowances: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860" w:type="dxa"/>
            <w:vAlign w:val="bottom"/>
            <w:tcBorders>
              <w:bottom w:val="single" w:sz="8" w:color="auto"/>
            </w:tcBorders>
          </w:tcPr>
          <w:p>
            <w:pPr>
              <w:spacing w:after="0"/>
              <w:rPr>
                <w:sz w:val="18"/>
                <w:szCs w:val="18"/>
                <w:color w:val="auto"/>
              </w:rPr>
            </w:pPr>
          </w:p>
        </w:tc>
      </w:tr>
      <w:tr>
        <w:trPr>
          <w:trHeight w:val="210"/>
        </w:trPr>
        <w:tc>
          <w:tcPr>
            <w:tcW w:w="85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State</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Undistributed earnings of subsidiaries are accounted for as a temporary difference, except that DTLs are not recorded for undistributed earnings of foreign subsidiaries that are deemed to be indefinitely reinvested in foreign jurisdictions. The Tax Act required the Company to compute a tax on previously undistributed earnings and profits of its foreign subsidiaries upon transition from a worldwide tax system to a territorial tax system during the year ended December 31, 2017. The repatriation of</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23" w:name="page124"/>
    <w:bookmarkEnd w:id="123"/>
    <w:p>
      <w:pPr>
        <w:jc w:val="both"/>
        <w:ind w:right="380"/>
        <w:spacing w:after="0" w:line="311" w:lineRule="auto"/>
        <w:rPr>
          <w:sz w:val="20"/>
          <w:szCs w:val="20"/>
          <w:color w:val="auto"/>
        </w:rPr>
      </w:pPr>
      <w:r>
        <w:rPr>
          <w:rFonts w:ascii="Arial" w:cs="Arial" w:eastAsia="Arial" w:hAnsi="Arial"/>
          <w:sz w:val="16"/>
          <w:szCs w:val="16"/>
          <w:color w:val="auto"/>
        </w:rPr>
        <w:t>such amounts in the future should generally be exempt from income taxes in the U.S. (as a result of the Tax Act) and in those jurisdictions that have a similar territorial system of taxation. Substantially all of our current year foreign cash flows are not intended to be indefinitely reinvested offshore, and therefore the tax effects of repatriation (including applicable withholding taxes) of such cash flows are provided for in our financial reporting.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48"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total amount of unrecognized tax benefits (“UTBs”) as of December 31, 2021 was $29 million. Of this amount, $29 million, if recognized, would be included in our Consolidated Statements of Operations and have an impact on our effective tax rate. We do not expect any material changes in unrecognized tax benefits before December 31, 2022.</w:t>
      </w:r>
    </w:p>
    <w:p>
      <w:pPr>
        <w:spacing w:after="0" w:line="11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recognize interest and penalties for unrecognized tax benefits in income tax expense. The amounts recognized for interest and penalties during the years ended December 31, 2021, 2020 and 2019 were not material.</w:t>
      </w:r>
    </w:p>
    <w:p>
      <w:pPr>
        <w:spacing w:after="0" w:line="103"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We file income tax returns in the U.S. Federal jurisdiction and various state and foreign jurisdictions. We are generally not subject to examination for periods prior to December 31, 2017; however as we utilize our net operating losses, prior periods can be subject to examination. There are no ongoing material U.S. federal, state, local or non-U.S. examinations by tax authorities.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the following activity for unrecognized tax benefits: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ind w:left="260"/>
              <w:spacing w:after="0"/>
              <w:rPr>
                <w:sz w:val="20"/>
                <w:szCs w:val="20"/>
                <w:color w:val="auto"/>
              </w:rPr>
            </w:pPr>
            <w:r>
              <w:rPr>
                <w:rFonts w:ascii="Arial" w:cs="Arial" w:eastAsia="Arial" w:hAnsi="Arial"/>
                <w:sz w:val="16"/>
                <w:szCs w:val="16"/>
                <w:b w:val="1"/>
                <w:bCs w:val="1"/>
                <w:color w:val="auto"/>
                <w:w w:val="99"/>
              </w:rPr>
              <w:t>Year Ended December 31,</w:t>
            </w:r>
          </w:p>
        </w:tc>
        <w:tc>
          <w:tcPr>
            <w:tcW w:w="1000" w:type="dxa"/>
            <w:vAlign w:val="bottom"/>
            <w:tcBorders>
              <w:bottom w:val="single" w:sz="8" w:color="auto"/>
            </w:tcBorders>
          </w:tcPr>
          <w:p>
            <w:pPr>
              <w:spacing w:after="0"/>
              <w:rPr>
                <w:sz w:val="18"/>
                <w:szCs w:val="18"/>
                <w:color w:val="auto"/>
              </w:rPr>
            </w:pPr>
          </w:p>
        </w:tc>
      </w:tr>
      <w:tr>
        <w:trPr>
          <w:trHeight w:val="210"/>
        </w:trPr>
        <w:tc>
          <w:tcPr>
            <w:tcW w:w="70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Tax positions related to current year additions</w:t>
            </w:r>
          </w:p>
        </w:tc>
        <w:tc>
          <w:tcPr>
            <w:tcW w:w="9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Tax positions related to prior years reductions</w:t>
            </w:r>
          </w:p>
        </w:tc>
        <w:tc>
          <w:tcPr>
            <w:tcW w:w="94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due to lapse of statute of limitations on tax positions</w:t>
            </w: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
        </w:trPr>
        <w:tc>
          <w:tcPr>
            <w:tcW w:w="7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Litigation</w:t>
      </w:r>
    </w:p>
    <w:p>
      <w:pPr>
        <w:spacing w:after="0" w:line="16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are involved in various legal proceedings, including those discussed below. 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$27 million and $3 million for all of our legal matters that were contingencies as of December 31, 2021 and 2020, respectively.</w:t>
      </w:r>
    </w:p>
    <w:p>
      <w:pPr>
        <w:spacing w:after="0" w:line="110"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w:t>
      </w:r>
    </w:p>
    <w:p>
      <w:pPr>
        <w:spacing w:after="0" w:line="4"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matter may not have progressed sufficiently through discovery or there may be significant factual or legal issues to be resolved or developed; and/or</w:t>
      </w:r>
    </w:p>
    <w:p>
      <w:pPr>
        <w:spacing w:after="0" w:line="32" w:lineRule="exact"/>
        <w:rPr>
          <w:rFonts w:ascii="Arial" w:cs="Arial" w:eastAsia="Arial" w:hAnsi="Arial"/>
          <w:sz w:val="16"/>
          <w:szCs w:val="16"/>
          <w:color w:val="auto"/>
        </w:rPr>
      </w:pPr>
    </w:p>
    <w:p>
      <w:pPr>
        <w:ind w:right="100" w:firstLine="8"/>
        <w:spacing w:after="0" w:line="268" w:lineRule="auto"/>
        <w:tabs>
          <w:tab w:leader="none" w:pos="2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there may be uncertainty as to the enforceability of legal judgments and outcomes in certain jurisdictions. Other matters have progressed sufficiently that we are able to estimate a range of possible loss. For those legal contingencies disclosed below, and those related to the previously disclosed settlement agreement entered into in February 2015 with SNAI S.p.a. (“SNAI”), as to which a loss is reasonably possible, whether in excess of a related accrued liability or where there is no accrued liability, and for which we are able to estimate a range of possible loss, the current estimated range is up to approximately $14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4" w:name="page125"/>
    <w:bookmarkEnd w:id="124"/>
    <w:p>
      <w:pPr>
        <w:ind w:right="20"/>
        <w:spacing w:after="0" w:line="218" w:lineRule="exact"/>
        <w:rPr>
          <w:sz w:val="20"/>
          <w:szCs w:val="20"/>
          <w:color w:val="auto"/>
        </w:rPr>
      </w:pPr>
      <w:r>
        <w:rPr>
          <w:rFonts w:ascii="Arial" w:cs="Arial" w:eastAsia="Arial" w:hAnsi="Arial"/>
          <w:sz w:val="16"/>
          <w:szCs w:val="16"/>
          <w:color w:val="auto"/>
        </w:rPr>
        <w:t>inaccurate information about the facts underlying a claim; its assumptions about the future rulings of the court or other tribunal on significant issues, or the behavior and incentives of adverse parties, regulators, indemnitors or co</w:t>
      </w:r>
      <w:r>
        <w:rPr>
          <w:rFonts w:ascii="MS PGothic" w:cs="MS PGothic" w:eastAsia="MS PGothic" w:hAnsi="MS PGothic"/>
          <w:sz w:val="16"/>
          <w:szCs w:val="16"/>
          <w:color w:val="auto"/>
        </w:rPr>
        <w:t>‑</w:t>
      </w:r>
      <w:r>
        <w:rPr>
          <w:rFonts w:ascii="Arial" w:cs="Arial" w:eastAsia="Arial" w:hAnsi="Arial"/>
          <w:sz w:val="16"/>
          <w:szCs w:val="16"/>
          <w:color w:val="auto"/>
        </w:rPr>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Colombia litigation</w:t>
      </w:r>
    </w:p>
    <w:p>
      <w:pPr>
        <w:spacing w:after="0" w:line="14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subsidiary, SGI,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SGI and the other shareholders of Wintech of up to $5.0 million if certain levels of lottery sales were not achieved. In addition, SGI delivered to Ecosalud a $4.0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spacing w:after="0" w:line="12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1993, Ecosalud issued a resolution declaring that the contract was in default. In 1994, Ecosalud issued a liquidation resolution asserting claims for compensation and damages against Wintech, SGI and other shareholders of Wintech for, among other things, realization of the full amount of the penalty, plus interest, and the amount of the bond. SGI filed separate actions opposing each resolution with the Tribunal Contencioso of Cundinamarca in Colombia (the “Tribunal”), which upheld both resolutions. SGI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spacing w:after="0" w:line="1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July 1996, Ecosalud filed a lawsuit against SGI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spacing w:after="0" w:line="10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June 1999, Ecosalud filed a collection proceeding against SGI to enforce the liquidation resolution and recover the claimed damages. In May 2013, the Tribunal denied SGI’s merit defenses to the collection proceeding and issued an order of payment of approximately 90 billion Colombian pesos, or approximately $30.2 million, plus default interest (potentially accrued since 1994 at a 12% statutory interest rate). SGI filed an appeal to the Council of State, and on December 10, 2020, the Council of State issued a ruling affirming the Tribunal’s decision. On December 16, 2020, SGI filed a motion for clarification of the Council of State’s ruling, which was denied on April 15, 2021. On April 22, 2021, SGI filed a motion for reconsideration relating to that decision, and that motion is pending.</w:t>
      </w:r>
    </w:p>
    <w:p>
      <w:pPr>
        <w:spacing w:after="0" w:line="125"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SGI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SNAI litigation</w:t>
      </w:r>
    </w:p>
    <w:p>
      <w:pPr>
        <w:spacing w:after="0" w:line="14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April 16, 2012, certain VLTs operated by SNAI in Italy and supplied by Barcrest Group Limited (“Barcrest”) erroneously printed what appeared to be winning jackpot and other tickets with a face amount in excess of €400.0 million. SNAI has stated, and system data confirms, that no jackpots were actually won on that day. The terminals were deactivated by the Italian regulatory authority. Following the incident, we understand that the Italian regulatory authority revoked the certification of the version of the gaming system that Barcrest provided to SNAI and fined SNAI €1.5 million, but determined to not revoke SNAI’s concession to operate VLTs in Italy.</w:t>
      </w:r>
    </w:p>
    <w:p>
      <w:pPr>
        <w:spacing w:after="0" w:line="120" w:lineRule="exact"/>
        <w:rPr>
          <w:sz w:val="20"/>
          <w:szCs w:val="20"/>
          <w:color w:val="auto"/>
        </w:rPr>
      </w:pPr>
    </w:p>
    <w:p>
      <w:pPr>
        <w:ind w:right="60" w:firstLine="648"/>
        <w:spacing w:after="0" w:line="219" w:lineRule="exact"/>
        <w:rPr>
          <w:sz w:val="20"/>
          <w:szCs w:val="20"/>
          <w:color w:val="auto"/>
        </w:rPr>
      </w:pPr>
      <w:r>
        <w:rPr>
          <w:rFonts w:ascii="Arial" w:cs="Arial" w:eastAsia="Arial" w:hAnsi="Arial"/>
          <w:sz w:val="18"/>
          <w:szCs w:val="18"/>
          <w:color w:val="auto"/>
        </w:rPr>
        <w:t>In October 2012, SNAI filed a lawsuit in the Court of First Instance of Rome in Italy against Barcrest and The Global Draw Limited (“Global Draw”), our subsidiary which acquired Barcrest from IGT</w:t>
      </w:r>
      <w:r>
        <w:rPr>
          <w:rFonts w:ascii="MS PGothic" w:cs="MS PGothic" w:eastAsia="MS PGothic" w:hAnsi="MS PGothic"/>
          <w:sz w:val="18"/>
          <w:szCs w:val="18"/>
          <w:color w:val="auto"/>
        </w:rPr>
        <w:t>‑</w:t>
      </w:r>
      <w:r>
        <w:rPr>
          <w:rFonts w:ascii="Arial" w:cs="Arial" w:eastAsia="Arial" w:hAnsi="Arial"/>
          <w:sz w:val="18"/>
          <w:szCs w:val="18"/>
          <w:color w:val="auto"/>
        </w:rPr>
        <w:t>UK Group Limited, a subsidiary of IGT, claiming liability arising out of the April 2012 incident and asserting claims based on theories of breach of contract and tort. The lawsuit sought to terminate SNAI’s agreement with Barcrest and damages arising from the deactivation of the terminals, including among other things, lost profits, expenses and costs, potential awards to players who have sought to enforce what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5" w:name="page126"/>
    <w:bookmarkEnd w:id="125"/>
    <w:p>
      <w:pPr>
        <w:ind w:right="60"/>
        <w:spacing w:after="0" w:line="263" w:lineRule="auto"/>
        <w:rPr>
          <w:sz w:val="20"/>
          <w:szCs w:val="20"/>
          <w:color w:val="auto"/>
        </w:rPr>
      </w:pPr>
      <w:r>
        <w:rPr>
          <w:rFonts w:ascii="Arial" w:cs="Arial" w:eastAsia="Arial" w:hAnsi="Arial"/>
          <w:sz w:val="18"/>
          <w:szCs w:val="18"/>
          <w:color w:val="auto"/>
        </w:rPr>
        <w:t>appeared to be winning jackpot and other tickets, compensation for lost profits sought by managers of the gaming locations where SNAI VLTs supplied by Barcrest were installed, damages to commercial reputation and any future damages arising from SNAI’s potential loss of its concession or inability to obtain a new concession.</w:t>
      </w:r>
    </w:p>
    <w:p>
      <w:pPr>
        <w:spacing w:after="0" w:line="11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February 2015, we entered into a settlement agreement with SNAI that provides, among other things, for us to make a €25.0 million upfront payment to SNAI, which payment was made in February 2015, and to indemnify SNAI against certain potential future losses. In connection with the settlement, the parties’ pending claims in the Court of First Instance of Rome were dismissed on February 19, 2015. To date, we have paid €9.4 million to SNAI pursuant to our indemnification obligations.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Washington State Matter</w:t>
      </w:r>
    </w:p>
    <w:p>
      <w:pPr>
        <w:spacing w:after="0" w:line="158"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On April 17, 2018, a plaintiff, Sheryl Fife, filed a putative class action complaint, Fife v. Scientific Games Corporation, against SGC in the United States District Court for the Western District of Washington. The plaintiff seeks to represent a putative class of all persons in the State of Washington who purchased and allegedly lost virtual coins playing SGC’s online social casino games, including but not limited to Jackpot Party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Casino and Gold Fish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Casino. The complaint asserts claims for alleged violations of Washington’s Recovery of Money Lost at Gambling Act, Washington’s consumer protection statute, and for unjust enrichment, and seeks unspecified money damages (including treble damages as appropriate), the award of reasonable attorneys’ fees and costs, pre- and post-judgment interest, and injunctive and/or declaratory relief. On July 2, 2018, SGC filed a motion to dismiss the plaintiff’s complaint with prejudice, which the trial court denied on December 18, 2018. SGC filed its answer to the putative class action complaint on January 18, 2019. On August 24, 2020, the trial court granted plaintiff’s motion for leave to amend her complaint and to substitute a new plaintiff, Donna Reed, for the initial plaintiff, and re-captioned the matter Reed v. Scientific Games Corporation. On August 25, 2020, the plaintiff filed a first amended complaint against SGC, asserting the same claims, and seeking the same relief, as the complaint filed by Sheryl Fife. On September 8, 2020, SGC filed a motion to compel arbitration of plaintiff’s claims and to dismiss the action, or, in the alternative, to transfer the action to the United States District Court for the District of Nevada. On June 17, 2021, the district court denied that motion, and on June 23, 2021, SGC filed a notice of appeal from the district court’s denial of that motion, and also filed a motion to stay all district court proceedings, pending the appeals court’s ruling on the Company’s arbitration appeal. On November 23, 2021, we entered into an agreement in principle to settle the lawsuit for the amount of $24.5 million. On December 3, 2021, the district court granted a joint motion to stay appellate proceedings until final approval by the district court of the parties’ settlement. On January 18, 2022, the parties executed a settlement agreement, and plaintiff filed an unopposed motion for preliminary approval of the parties’ proposed settlement agreement. On January 19, 2022, the district court granted preliminary approval to the parties’ proposed settlement, and a hearing for final approval of the settlement is scheduled for August 12, 2022. Although the case was brought against Scientific Games, pursuant to the Intercompany Services Agreement, we expect SciPlay to cover or contribute to the settlement amount due to the matter arising as a result of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TCS John Huxley Matter</w:t>
      </w:r>
    </w:p>
    <w:p>
      <w:pPr>
        <w:spacing w:after="0" w:line="144"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On March 15, 2019, TCS John Huxley America, Inc., TCS John Huxley Europe Ltd., TCS John Huxley Asia Ltd., and Taiwan Fulgent Enterprise Co., Ltd. brought a civil action in the United States District Court for the Northern District of Illinois against SGC, Bally Technologies, Inc. and SG Gaming. In the complaint, the plaintiffs assert federal antitrust claims arising from the defendants’ procurement of particular U.S. and South African patents. The plaintiffs allege that the defendants used those patents to create an allegedly illegal monopoly in the market for automatic card shufflers sold to regulated casinos in the United States. On April 10, 2019, the defendants filed a motion to dismiss the plaintiffs’ complaint with prejudice. On April 25, 2019, the district court denied the defendants’ motion to dismiss without prejudice pursuant to the court’s local rules, after the plaintiffs advised that they intended to file an amended complaint. The plaintiffs filed their amended complaint on May 3, 2019, and on May 22, 2019, the defendants filed a motion to dismiss the plaintiffs’ amended complaint with prejudice. On March 20, 2020, the district court denied the defendants’ motion to dismiss the plaintiffs’ amended complaint, and defendants filed an answer to Plaintiffs’ amended complaint on June 19, 2020. On June 3, 2020, the trial court granted the defendants’ request to bifurcate proceedings in the case, with discovery to occur first into the statute of limitations and release defenses asserted by the defendants in their motion to dismiss, before proceeding into broader discovery. The trial court set a September 18, 2020, deadline for the parties to complete discovery relating to the statute of limitations and release defenses. On October 28, 2020, the court issued an order extending until January 15, 2021 the deadline for the parties to complete discovery relating to the statute of limitations defense. On February 9, 2021, the defendants filed a motion for summary judgment on their statute of limitations defense, addressing whether plaintiffs had actual knowledge of their claims prior to the start of the limitations period. The district court denied that motion for summary judgment on September 20, 2021. We are currently unable to determine the likelihood of an outcome or estimate a range of reasonably possible losses, if any. We believe that the claims in the lawsuit are without merit and intend to vigorously defend against them.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Tonkawa Tribe Matter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26" w:name="page127"/>
    <w:bookmarkEnd w:id="126"/>
    <w:p>
      <w:pPr>
        <w:ind w:firstLine="648"/>
        <w:spacing w:after="0" w:line="268" w:lineRule="auto"/>
        <w:rPr>
          <w:sz w:val="20"/>
          <w:szCs w:val="20"/>
          <w:color w:val="auto"/>
        </w:rPr>
      </w:pPr>
      <w:r>
        <w:rPr>
          <w:rFonts w:ascii="Arial" w:cs="Arial" w:eastAsia="Arial" w:hAnsi="Arial"/>
          <w:sz w:val="17"/>
          <w:szCs w:val="17"/>
          <w:color w:val="auto"/>
        </w:rPr>
        <w:t>On September 3, 2020, the Tonkawa Tribe of Indians of Oklahoma d/b/a Tonkawa Enterprises filed a putative class action complaint in the United States District Court for the District of Nevada against SGC, Bally Technologies, Inc. and SG Gaming, f/k/a Bally Gaming, Inc. On October 5, 2020, the plaintiff filed a first amended complaint to add Cow Creek Band of Umpqua Tribe of Indians and the Umpqua Indian Development Corp., d/b/a Seven Feathers Casino as a plaintiff. On October 26, 2020, the plaintiffs filed a second amended complaint. In the complaint, the plaintiffs assert federal antitrust claims arising from the defendants’ procurement of particular U.S. patents. The plaintiffs allege that the defendants used those patents to create an allegedly illegal monopoly in the market for card shufflers sold or leased to regulated casinos in the United States. The plaintiffs seek to represent a putative class of all regulated United States casinos directly leasing or purchasing card shufflers from the defendants on or after April 1, 2009. The complaint seeks unspecified money damages, the award of plaintiff’s costs of suit, including reasonable attorneys’ fees and expert fees, and the award of pre-judgment and post-judgment interest. On November 19, 2020, the defendants filed a motion to dismiss plaintiffs’ second amended complaint. On November 20, 2020, Plaintiffs filed a motion for partial summary judgment, seeking a finding that defendants are collaterally estopped from re-litigating issues litigated in the 2018 litigation versus Shuffle Tech International Corp., Aces Up Gaming, and Poydras-Talrick Holdings. On August 27, 2021, the Nevada district court entered an order transferring the lawsuit to the United States District Court for the Northern District of Illinois. We are currently unable to determine the likelihood of an outcome or estimate a range of reasonably possible losses, if any. We believe that the claims in the lawsuit are without merit, and intend to vigorously defend against them.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Giuliano and Rancho’s Club Casino Matter</w:t>
      </w:r>
    </w:p>
    <w:p>
      <w:pPr>
        <w:spacing w:after="0" w:line="14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September 4, 2020, Alfred T. Giuliano, as liquidation trustee for RIH Acquisition NJ, LLC d/b/a The Atlantic Club Casino Hotel filed a putative class action complaint in the United States District Court for the Northern District of Illinois against SGC, Bally Technologies, Inc. and SG Gaming,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September 8, 2020, Rancho’s Club Casino, Inc., d/b/a Magnolia House Casino filed a putative class action complaint in the United States District Court for the Northern District of Illinois against SGC, Bally Technologies, Inc. and SG Gaming, f/k/a Bally Gaming, Inc. In the complaint, the plaintiff asserts federal antitrust claims arising from the defendants’ procurement of particular U.S. patents. The plaintiff alleges that the defendants used those patents to create an allegedly illegal monopoly in the market for automatic card shufflers sold or leased in the United States. The plaintiff seeks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w:t>
      </w:r>
    </w:p>
    <w:p>
      <w:pPr>
        <w:spacing w:after="0" w:line="11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October 29, 2020, the trial court consolidated the Giuliano and Rancho’s Club Casino matters. On October 30, 2020, the plaintiffs in the consolidated action filed a first amended consolidated complaint. On November 9, 2020, the defendants filed a motion to dismiss the plaintiffs’ first amended consolidated complaint, and also filed a motion to compel arbitration of plaintiff Alfred T. Giuliano’s individual claims. We are currently unable to determine the likelihood of an outcome or estimate a range of reasonably possible losses, if any. We believe that the claims in the consolidated lawsuit are without merit, and intend to vigorously defend against them.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Mohawk Gaming Enterprises Matter</w:t>
      </w:r>
    </w:p>
    <w:p>
      <w:pPr>
        <w:spacing w:after="0" w:line="14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November 9, 2020, Mohawk Gaming Enterprises LLC, d/b/a Akwesasne Mohawk Casino Resort, filed a demand for a putative class arbitration before the American Arbitration Association against SGC, Bally Technologies, Inc. and SG Gaming, f/k/a Bally Gaming, Inc.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7" w:name="page128"/>
    <w:bookmarkEnd w:id="127"/>
    <w:p>
      <w:pPr>
        <w:ind w:right="420"/>
        <w:spacing w:after="0" w:line="277" w:lineRule="auto"/>
        <w:rPr>
          <w:sz w:val="20"/>
          <w:szCs w:val="20"/>
          <w:color w:val="auto"/>
        </w:rPr>
      </w:pPr>
      <w:r>
        <w:rPr>
          <w:rFonts w:ascii="Arial" w:cs="Arial" w:eastAsia="Arial" w:hAnsi="Arial"/>
          <w:sz w:val="18"/>
          <w:szCs w:val="18"/>
          <w:color w:val="auto"/>
        </w:rPr>
        <w:t>Court. We are currently unable to determine the likelihood of an outcome or estimate a range of reasonably possible losses, if any. We believe that the claims in the arbitration demand are without merit, and intend to vigorously defend against them.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SciPlay IPO Matter (New York)</w:t>
      </w:r>
    </w:p>
    <w:p>
      <w:pPr>
        <w:spacing w:after="0" w:line="14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or about October 14, 2019, the Police Retirement System of St. Louis filed a putative class action complaint in New York state court against SciPlay, certain of its executives and directors, and SciPlay’s underwriters with respect to its IPO (the “PRS Action”). The complaint was amended on November 18, 2019. The plaintiff seeks to represent a class of all persons or entities who acquired Class A common stock of SciPlay pursuant and/or traceable to the Registration Statement filed and issued in connection with the SciPlay IPO, which commenced on or about May 3, 2019. The complaint asserts claims for alleged violations of Sections 11 and 15 of the Securities Act, 15 U.S.C. § 77, and seeks certification of the putative class; compensatory damages of at least $146 million, and the award of the plaintiff’s and the class’s reasonable costs and expenses incurred in the action.</w:t>
      </w:r>
    </w:p>
    <w:p>
      <w:pPr>
        <w:spacing w:after="0" w:line="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or about December 9, 2019, Hongwei Li filed a putative class action complaint in New York state court asserting substantively similar causes of action under the Securities Act of 1933 and substantially similar factual allegations as those alleged in the PRS Action (the “Li Action”). On December 18, 2019, the New York state court entered a stipulated order consolidating the PRS Action and the Li Action into a single lawsuit. On December 23, 2019, the defendants moved to dismiss the consolidated action. On August 28, 2020, the court issued an oral ruling granting in part and denying in part the defendants’ motion to dismiss. On December 14, 2020, plaintiffs in the consolidated action filed a motion to certify the putative class. On May 12, 2021, the parties in the consolidated action reached an agreement in principle to settle the consolidated action. On July 27, 2021, the parties in the consolidated action entered into a settlement agreement to settle the consolidated action. On August 11, 2021, the New York court granted preliminary approval to the parties’ proposed settlement, stayed non-settlement related proceedings in the consolidated action pending final approval of the settlement and scheduled a hearing for final approval of the settlement on November 15, 2021. On November 16, 2021, the New York court entered an order fully and finally approving the settlement agreement and dismissing the complaint in the consolidated action in its entirety. The loss from the settlement of $8.275 million was recovered and settled under our insurance policy.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SciPlay IPO Matter (Nevada)</w:t>
      </w:r>
    </w:p>
    <w:p>
      <w:pPr>
        <w:spacing w:after="0" w:line="14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or about November 4, 2019, plaintiff John Good filed a putative class action complaint in Nevada state court against SciPlay, certain of its executives and directors, SGC, and SciPlay’s underwriters with respect to the SciPlay IPO. The plaintiff seeks to represent a class of all persons who purchased Class A common stock of SciPlay in or traceable to the SciPlay IPO that it completed on or about May 7, 2019. The complaint asserts claims for alleged violations of Sections 11 and 15 of the Securities Act, 15 U.S.C. § 77, and seeks certification of the putative class; compensatory damages, and the award of the plaintiff’s and the class’s reasonable costs and expenses incurred in the action. On February 27, 2020, the trial court entered a stipulated order that, among other things, stayed the lawsuit pending entry of an order resolving the motion to dismiss that was pending in the SciPlay IPO matter in New York state court. On September 29, 2020, the trial court entered a stipulated order that extended the stay pending a ruling on class certification in the SciPlay IPO matter in New York state court. On May 12, 2021, the parties in the Nevada lawsuit reached an agreement in principle to settle the lawsuit and so informed the Nevada court, which vacated non-settlement related proceedings in the lawsuit, pending final approval of the settlement agreement by the New York court. On December 3, 2021, the Nevada court ordered the dismissal of the Nevada lawsuit with prejudice.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(21) Selected Quarterly Financial Data,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Quarter Ended 2021</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10"/>
        </w:trPr>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(a)</w:t>
            </w:r>
          </w:p>
        </w:tc>
        <w:tc>
          <w:tcPr>
            <w:tcW w:w="24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(b)</w:t>
            </w:r>
          </w:p>
        </w:tc>
        <w:tc>
          <w:tcPr>
            <w:tcW w:w="16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(c)</w:t>
            </w:r>
          </w:p>
        </w:tc>
        <w:tc>
          <w:tcPr>
            <w:tcW w:w="160" w:type="dxa"/>
            <w:vAlign w:val="bottom"/>
          </w:tcPr>
          <w:p>
            <w:pPr>
              <w:spacing w:after="0"/>
              <w:rPr>
                <w:sz w:val="18"/>
                <w:szCs w:val="18"/>
                <w:color w:val="auto"/>
              </w:rPr>
            </w:pPr>
          </w:p>
        </w:tc>
        <w:tc>
          <w:tcPr>
            <w:tcW w:w="1400" w:type="dxa"/>
            <w:vAlign w:val="bottom"/>
          </w:tcPr>
          <w:p>
            <w:pPr>
              <w:jc w:val="right"/>
              <w:ind w:right="131"/>
              <w:spacing w:after="0"/>
              <w:rPr>
                <w:sz w:val="20"/>
                <w:szCs w:val="20"/>
                <w:color w:val="auto"/>
              </w:rPr>
            </w:pPr>
            <w:r>
              <w:rPr>
                <w:rFonts w:ascii="Arial" w:cs="Arial" w:eastAsia="Arial" w:hAnsi="Arial"/>
                <w:sz w:val="16"/>
                <w:szCs w:val="16"/>
                <w:b w:val="1"/>
                <w:bCs w:val="1"/>
                <w:color w:val="auto"/>
                <w:w w:val="93"/>
              </w:rPr>
              <w:t>December 31 (d)</w:t>
            </w:r>
          </w:p>
        </w:tc>
      </w:tr>
      <w:tr>
        <w:trPr>
          <w:trHeight w:val="22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Total cost of revenues</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from continuing operations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Net income from discontinued operations, net of tax</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SGC</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4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 Basic:</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Net (loss) income from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from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(loss) income attributable to SGC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4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Per Share - Diluted:</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income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29"/>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from discontinued operations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SGC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75"/>
        </w:trPr>
        <w:tc>
          <w:tcPr>
            <w:tcW w:w="4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 average number of shares used in per share</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calculations: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Basic shares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shares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143" w:lineRule="exact"/>
        <w:rPr>
          <w:sz w:val="20"/>
          <w:szCs w:val="20"/>
          <w:color w:val="auto"/>
        </w:rPr>
      </w:pPr>
    </w:p>
    <w:p>
      <w:pPr>
        <w:ind w:left="220" w:hanging="194"/>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Excludes D&amp;A</w:t>
      </w:r>
    </w:p>
    <w:p>
      <w:pPr>
        <w:spacing w:after="0" w:line="41" w:lineRule="exact"/>
        <w:rPr>
          <w:rFonts w:ascii="Arial" w:cs="Arial" w:eastAsia="Arial" w:hAnsi="Arial"/>
          <w:sz w:val="14"/>
          <w:szCs w:val="14"/>
          <w:color w:val="auto"/>
        </w:rPr>
      </w:pPr>
    </w:p>
    <w:p>
      <w:pPr>
        <w:ind w:left="320" w:hanging="186"/>
        <w:spacing w:after="0"/>
        <w:tabs>
          <w:tab w:leader="none" w:pos="320" w:val="left"/>
        </w:tabs>
        <w:numPr>
          <w:ilvl w:val="1"/>
          <w:numId w:val="51"/>
        </w:numPr>
        <w:rPr>
          <w:rFonts w:ascii="Arial" w:cs="Arial" w:eastAsia="Arial" w:hAnsi="Arial"/>
          <w:sz w:val="14"/>
          <w:szCs w:val="14"/>
          <w:color w:val="auto"/>
        </w:rPr>
      </w:pPr>
      <w:r>
        <w:rPr>
          <w:rFonts w:ascii="Arial" w:cs="Arial" w:eastAsia="Arial" w:hAnsi="Arial"/>
          <w:sz w:val="14"/>
          <w:szCs w:val="14"/>
          <w:color w:val="auto"/>
        </w:rPr>
        <w:t>Includes a $25 million gain on remeasurement of debt and $6 million U.K. FOBT recovery (refer to Note 4 for additional information).</w:t>
      </w:r>
    </w:p>
    <w:p>
      <w:pPr>
        <w:spacing w:after="0" w:line="28" w:lineRule="exact"/>
        <w:rPr>
          <w:rFonts w:ascii="Arial" w:cs="Arial" w:eastAsia="Arial" w:hAnsi="Arial"/>
          <w:sz w:val="14"/>
          <w:szCs w:val="14"/>
          <w:color w:val="auto"/>
        </w:rPr>
      </w:pPr>
    </w:p>
    <w:p>
      <w:pPr>
        <w:ind w:left="140" w:right="160" w:hanging="6"/>
        <w:spacing w:after="0" w:line="236" w:lineRule="auto"/>
        <w:tabs>
          <w:tab w:leader="none" w:pos="344" w:val="left"/>
        </w:tabs>
        <w:numPr>
          <w:ilvl w:val="1"/>
          <w:numId w:val="51"/>
        </w:numPr>
        <w:rPr>
          <w:rFonts w:ascii="Arial" w:cs="Arial" w:eastAsia="Arial" w:hAnsi="Arial"/>
          <w:sz w:val="14"/>
          <w:szCs w:val="14"/>
          <w:color w:val="auto"/>
        </w:rPr>
      </w:pPr>
      <w:r>
        <w:rPr>
          <w:rFonts w:ascii="Arial" w:cs="Arial" w:eastAsia="Arial" w:hAnsi="Arial"/>
          <w:sz w:val="14"/>
          <w:szCs w:val="14"/>
          <w:color w:val="auto"/>
        </w:rPr>
        <w:t>Includes a $7 million loss on remeasurement of debt, $63 million gain related to the SportCast acquisition transaction (included in net income from discontinued operations, net of tax and and $38 million U.K. FOBT recovery (refer to Notes 4 and 10 for additional information).</w:t>
      </w:r>
    </w:p>
    <w:p>
      <w:pPr>
        <w:spacing w:after="0" w:line="7" w:lineRule="exact"/>
        <w:rPr>
          <w:rFonts w:ascii="Arial" w:cs="Arial" w:eastAsia="Arial" w:hAnsi="Arial"/>
          <w:sz w:val="14"/>
          <w:szCs w:val="14"/>
          <w:color w:val="auto"/>
        </w:rPr>
      </w:pPr>
    </w:p>
    <w:p>
      <w:pPr>
        <w:ind w:left="140" w:right="140" w:hanging="6"/>
        <w:spacing w:after="0" w:line="236" w:lineRule="auto"/>
        <w:tabs>
          <w:tab w:leader="none" w:pos="336" w:val="left"/>
        </w:tabs>
        <w:numPr>
          <w:ilvl w:val="1"/>
          <w:numId w:val="51"/>
        </w:numPr>
        <w:rPr>
          <w:rFonts w:ascii="Arial" w:cs="Arial" w:eastAsia="Arial" w:hAnsi="Arial"/>
          <w:sz w:val="14"/>
          <w:szCs w:val="14"/>
          <w:color w:val="auto"/>
        </w:rPr>
      </w:pPr>
      <w:r>
        <w:rPr>
          <w:rFonts w:ascii="Arial" w:cs="Arial" w:eastAsia="Arial" w:hAnsi="Arial"/>
          <w:sz w:val="14"/>
          <w:szCs w:val="14"/>
          <w:color w:val="auto"/>
        </w:rPr>
        <w:t>Includes a $12 million loss on remeasurement of debt and $181 million income tax benefit due to the reversal of a portion of our valuation allowance on our U.S. federal and state deferred tax assets (see Note 19 for additional information).</w:t>
      </w:r>
    </w:p>
    <w:p>
      <w:pPr>
        <w:spacing w:after="0" w:line="7" w:lineRule="exact"/>
        <w:rPr>
          <w:rFonts w:ascii="Arial" w:cs="Arial" w:eastAsia="Arial" w:hAnsi="Arial"/>
          <w:sz w:val="14"/>
          <w:szCs w:val="14"/>
          <w:color w:val="auto"/>
        </w:rPr>
      </w:pPr>
    </w:p>
    <w:p>
      <w:pPr>
        <w:ind w:left="340" w:hanging="206"/>
        <w:spacing w:after="0"/>
        <w:tabs>
          <w:tab w:leader="none" w:pos="3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Includes an $11 million gain on remeasurement of debt and income tax benefit of $71 million from the valuation allowance release (see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-638175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3"/>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Quarter Ended 2020</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10"/>
        </w:trPr>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(a)</w:t>
            </w:r>
          </w:p>
        </w:tc>
        <w:tc>
          <w:tcPr>
            <w:tcW w:w="24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(b)</w:t>
            </w:r>
          </w:p>
        </w:tc>
        <w:tc>
          <w:tcPr>
            <w:tcW w:w="16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(c)</w:t>
            </w:r>
          </w:p>
        </w:tc>
        <w:tc>
          <w:tcPr>
            <w:tcW w:w="160" w:type="dxa"/>
            <w:vAlign w:val="bottom"/>
          </w:tcPr>
          <w:p>
            <w:pPr>
              <w:spacing w:after="0"/>
              <w:rPr>
                <w:sz w:val="18"/>
                <w:szCs w:val="18"/>
                <w:color w:val="auto"/>
              </w:rPr>
            </w:pPr>
          </w:p>
        </w:tc>
        <w:tc>
          <w:tcPr>
            <w:tcW w:w="1400" w:type="dxa"/>
            <w:vAlign w:val="bottom"/>
          </w:tcPr>
          <w:p>
            <w:pPr>
              <w:jc w:val="right"/>
              <w:ind w:right="131"/>
              <w:spacing w:after="0"/>
              <w:rPr>
                <w:sz w:val="20"/>
                <w:szCs w:val="20"/>
                <w:color w:val="auto"/>
              </w:rPr>
            </w:pPr>
            <w:r>
              <w:rPr>
                <w:rFonts w:ascii="Arial" w:cs="Arial" w:eastAsia="Arial" w:hAnsi="Arial"/>
                <w:sz w:val="16"/>
                <w:szCs w:val="16"/>
                <w:b w:val="1"/>
                <w:bCs w:val="1"/>
                <w:color w:val="auto"/>
                <w:w w:val="93"/>
              </w:rPr>
              <w:t>December 31 (d)</w:t>
            </w:r>
          </w:p>
        </w:tc>
      </w:tr>
      <w:tr>
        <w:trPr>
          <w:trHeight w:val="22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Total cost of revenues</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Net income from discontinued operations, net of tax</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SGC</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4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 Basic:</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from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loss attributable to SGC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4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Per Share - Diluted:</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from discontinued operations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SGC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76"/>
        </w:trPr>
        <w:tc>
          <w:tcPr>
            <w:tcW w:w="4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 average number of shares used in per share</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calculations: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Basic shares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shares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bl>
    <w:p>
      <w:pPr>
        <w:spacing w:after="0" w:line="143" w:lineRule="exact"/>
        <w:rPr>
          <w:sz w:val="20"/>
          <w:szCs w:val="20"/>
          <w:color w:val="auto"/>
        </w:rPr>
      </w:pPr>
    </w:p>
    <w:p>
      <w:pPr>
        <w:ind w:left="220" w:hanging="194"/>
        <w:spacing w:after="0"/>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Excludes D&amp;A</w:t>
      </w:r>
    </w:p>
    <w:p>
      <w:pPr>
        <w:spacing w:after="0" w:line="41" w:lineRule="exact"/>
        <w:rPr>
          <w:rFonts w:ascii="Arial" w:cs="Arial" w:eastAsia="Arial" w:hAnsi="Arial"/>
          <w:sz w:val="14"/>
          <w:szCs w:val="14"/>
          <w:color w:val="auto"/>
        </w:rPr>
      </w:pPr>
    </w:p>
    <w:p>
      <w:pPr>
        <w:ind w:left="320" w:hanging="186"/>
        <w:spacing w:after="0"/>
        <w:tabs>
          <w:tab w:leader="none" w:pos="320" w:val="left"/>
        </w:tabs>
        <w:numPr>
          <w:ilvl w:val="1"/>
          <w:numId w:val="52"/>
        </w:numPr>
        <w:rPr>
          <w:rFonts w:ascii="Arial" w:cs="Arial" w:eastAsia="Arial" w:hAnsi="Arial"/>
          <w:sz w:val="14"/>
          <w:szCs w:val="14"/>
          <w:color w:val="auto"/>
        </w:rPr>
      </w:pPr>
      <w:r>
        <w:rPr>
          <w:rFonts w:ascii="Arial" w:cs="Arial" w:eastAsia="Arial" w:hAnsi="Arial"/>
          <w:sz w:val="14"/>
          <w:szCs w:val="14"/>
          <w:color w:val="auto"/>
        </w:rPr>
        <w:t>Includes a $10 million gain on remeasurement of debt, $28 million bad debt expense, and $54 million goodwill impairment.</w:t>
      </w:r>
    </w:p>
    <w:p>
      <w:pPr>
        <w:spacing w:after="0" w:line="28" w:lineRule="exact"/>
        <w:rPr>
          <w:rFonts w:ascii="Arial" w:cs="Arial" w:eastAsia="Arial" w:hAnsi="Arial"/>
          <w:sz w:val="14"/>
          <w:szCs w:val="14"/>
          <w:color w:val="auto"/>
        </w:rPr>
      </w:pPr>
    </w:p>
    <w:p>
      <w:pPr>
        <w:ind w:left="340" w:hanging="206"/>
        <w:spacing w:after="0"/>
        <w:tabs>
          <w:tab w:leader="none" w:pos="340" w:val="left"/>
        </w:tabs>
        <w:numPr>
          <w:ilvl w:val="1"/>
          <w:numId w:val="52"/>
        </w:numPr>
        <w:rPr>
          <w:rFonts w:ascii="Arial" w:cs="Arial" w:eastAsia="Arial" w:hAnsi="Arial"/>
          <w:sz w:val="14"/>
          <w:szCs w:val="14"/>
          <w:color w:val="auto"/>
        </w:rPr>
      </w:pPr>
      <w:r>
        <w:rPr>
          <w:rFonts w:ascii="Arial" w:cs="Arial" w:eastAsia="Arial" w:hAnsi="Arial"/>
          <w:sz w:val="14"/>
          <w:szCs w:val="14"/>
          <w:color w:val="auto"/>
        </w:rPr>
        <w:t>Includes a $12 million loss on remeasurement of debt, $12 million bad debt expense, and $21 million inventory valuation charges.</w:t>
      </w:r>
    </w:p>
    <w:p>
      <w:pPr>
        <w:spacing w:after="0" w:line="28" w:lineRule="exact"/>
        <w:rPr>
          <w:rFonts w:ascii="Arial" w:cs="Arial" w:eastAsia="Arial" w:hAnsi="Arial"/>
          <w:sz w:val="14"/>
          <w:szCs w:val="14"/>
          <w:color w:val="auto"/>
        </w:rPr>
      </w:pPr>
    </w:p>
    <w:p>
      <w:pPr>
        <w:ind w:left="320" w:hanging="186"/>
        <w:spacing w:after="0"/>
        <w:tabs>
          <w:tab w:leader="none" w:pos="320" w:val="left"/>
        </w:tabs>
        <w:numPr>
          <w:ilvl w:val="1"/>
          <w:numId w:val="52"/>
        </w:numPr>
        <w:rPr>
          <w:rFonts w:ascii="Arial" w:cs="Arial" w:eastAsia="Arial" w:hAnsi="Arial"/>
          <w:sz w:val="14"/>
          <w:szCs w:val="14"/>
          <w:color w:val="auto"/>
        </w:rPr>
      </w:pPr>
      <w:r>
        <w:rPr>
          <w:rFonts w:ascii="Arial" w:cs="Arial" w:eastAsia="Arial" w:hAnsi="Arial"/>
          <w:sz w:val="14"/>
          <w:szCs w:val="14"/>
          <w:color w:val="auto"/>
        </w:rPr>
        <w:t>Includes a $24 million loss on remeasurement of debt, $1 million bad debt expense, and $15 million inventory valuation charges.</w:t>
      </w:r>
    </w:p>
    <w:p>
      <w:pPr>
        <w:spacing w:after="0" w:line="28" w:lineRule="exact"/>
        <w:rPr>
          <w:rFonts w:ascii="Arial" w:cs="Arial" w:eastAsia="Arial" w:hAnsi="Arial"/>
          <w:sz w:val="14"/>
          <w:szCs w:val="14"/>
          <w:color w:val="auto"/>
        </w:rPr>
      </w:pPr>
    </w:p>
    <w:p>
      <w:pPr>
        <w:ind w:left="340" w:hanging="206"/>
        <w:spacing w:after="0"/>
        <w:tabs>
          <w:tab w:leader="none" w:pos="340" w:val="left"/>
        </w:tabs>
        <w:numPr>
          <w:ilvl w:val="1"/>
          <w:numId w:val="52"/>
        </w:numPr>
        <w:rPr>
          <w:rFonts w:ascii="Arial" w:cs="Arial" w:eastAsia="Arial" w:hAnsi="Arial"/>
          <w:sz w:val="14"/>
          <w:szCs w:val="14"/>
          <w:color w:val="auto"/>
        </w:rPr>
      </w:pPr>
      <w:r>
        <w:rPr>
          <w:rFonts w:ascii="Arial" w:cs="Arial" w:eastAsia="Arial" w:hAnsi="Arial"/>
          <w:sz w:val="14"/>
          <w:szCs w:val="14"/>
          <w:color w:val="auto"/>
        </w:rPr>
        <w:t>Includes a $25 million loss on remeasurement of debt, $15 million bad debt expense, and $4 million inventory valuation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SCIENTIFIC GAMES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gridSpan w:val="2"/>
            <w:vMerge w:val="restart"/>
          </w:tcPr>
          <w:p>
            <w:pPr>
              <w:ind w:left="600"/>
              <w:spacing w:after="0"/>
              <w:rPr>
                <w:sz w:val="20"/>
                <w:szCs w:val="20"/>
                <w:color w:val="auto"/>
              </w:rPr>
            </w:pPr>
            <w:r>
              <w:rPr>
                <w:rFonts w:ascii="Arial" w:cs="Arial" w:eastAsia="Arial" w:hAnsi="Arial"/>
                <w:sz w:val="16"/>
                <w:szCs w:val="16"/>
                <w:b w:val="1"/>
                <w:bCs w:val="1"/>
                <w:color w:val="auto"/>
              </w:rPr>
              <w:t>Allowance for credit losses</w:t>
            </w:r>
            <w:r>
              <w:rPr>
                <w:rFonts w:ascii="Arial" w:cs="Arial" w:eastAsia="Arial" w:hAnsi="Arial"/>
                <w:sz w:val="21"/>
                <w:szCs w:val="21"/>
                <w:b w:val="1"/>
                <w:bCs w:val="1"/>
                <w:color w:val="auto"/>
                <w:vertAlign w:val="superscript"/>
              </w:rPr>
              <w:t>(1)</w:t>
            </w:r>
          </w:p>
        </w:tc>
        <w:tc>
          <w:tcPr>
            <w:tcW w:w="120" w:type="dxa"/>
            <w:vAlign w:val="bottom"/>
          </w:tcPr>
          <w:p>
            <w:pPr>
              <w:spacing w:after="0"/>
              <w:rPr>
                <w:sz w:val="16"/>
                <w:szCs w:val="16"/>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Balance at beginning of</w:t>
            </w:r>
          </w:p>
        </w:tc>
        <w:tc>
          <w:tcPr>
            <w:tcW w:w="202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Additions</w:t>
            </w:r>
          </w:p>
        </w:tc>
        <w:tc>
          <w:tcPr>
            <w:tcW w:w="20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Deductions</w:t>
            </w:r>
            <w:r>
              <w:rPr>
                <w:rFonts w:ascii="Arial" w:cs="Arial" w:eastAsia="Arial" w:hAnsi="Arial"/>
                <w:sz w:val="21"/>
                <w:szCs w:val="21"/>
                <w:b w:val="1"/>
                <w:bCs w:val="1"/>
                <w:color w:val="auto"/>
                <w:vertAlign w:val="superscript"/>
              </w:rPr>
              <w:t>(2)</w:t>
            </w:r>
          </w:p>
        </w:tc>
        <w:tc>
          <w:tcPr>
            <w:tcW w:w="120" w:type="dxa"/>
            <w:vAlign w:val="bottom"/>
          </w:tcPr>
          <w:p>
            <w:pPr>
              <w:spacing w:after="0"/>
              <w:rPr>
                <w:sz w:val="16"/>
                <w:szCs w:val="16"/>
                <w:color w:val="auto"/>
              </w:rPr>
            </w:pPr>
          </w:p>
        </w:tc>
        <w:tc>
          <w:tcPr>
            <w:tcW w:w="178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w w:val="89"/>
              </w:rPr>
              <w:t>Balance at end of period</w:t>
            </w:r>
          </w:p>
        </w:tc>
        <w:tc>
          <w:tcPr>
            <w:tcW w:w="0" w:type="dxa"/>
            <w:vAlign w:val="bottom"/>
          </w:tcPr>
          <w:p>
            <w:pPr>
              <w:spacing w:after="0"/>
              <w:rPr>
                <w:sz w:val="1"/>
                <w:szCs w:val="1"/>
                <w:color w:val="auto"/>
              </w:rPr>
            </w:pPr>
          </w:p>
        </w:tc>
      </w:tr>
      <w:tr>
        <w:trPr>
          <w:trHeight w:val="216"/>
        </w:trPr>
        <w:tc>
          <w:tcPr>
            <w:tcW w:w="3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period</w:t>
            </w:r>
          </w:p>
        </w:tc>
        <w:tc>
          <w:tcPr>
            <w:tcW w:w="2020" w:type="dxa"/>
            <w:vAlign w:val="bottom"/>
            <w:gridSpan w:val="2"/>
            <w:vMerge w:val="continue"/>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ind w:left="20" w:right="620" w:hanging="1"/>
        <w:spacing w:after="0" w:line="232" w:lineRule="auto"/>
        <w:tabs>
          <w:tab w:leader="none" w:pos="224"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Results for reporting periods effective January 1, 2020 are presented in accordance with ASC 326 while prior period amounts continue to be reported in accordance with previously applicable U.S. GAAP.</w:t>
      </w:r>
    </w:p>
    <w:p>
      <w:pPr>
        <w:spacing w:after="0" w:line="7" w:lineRule="exact"/>
        <w:rPr>
          <w:rFonts w:ascii="Arial" w:cs="Arial" w:eastAsia="Arial" w:hAnsi="Arial"/>
          <w:sz w:val="14"/>
          <w:szCs w:val="14"/>
          <w:color w:val="auto"/>
        </w:rPr>
      </w:pPr>
    </w:p>
    <w:p>
      <w:pPr>
        <w:ind w:left="220" w:hanging="201"/>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Amounts written off, net of recovery, and related impact of foreign currency exchange.</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40" w:type="dxa"/>
            <w:vAlign w:val="bottom"/>
            <w:gridSpan w:val="2"/>
          </w:tcPr>
          <w:p>
            <w:pPr>
              <w:ind w:left="600"/>
              <w:spacing w:after="0"/>
              <w:rPr>
                <w:sz w:val="20"/>
                <w:szCs w:val="20"/>
                <w:color w:val="auto"/>
              </w:rPr>
            </w:pPr>
            <w:r>
              <w:rPr>
                <w:rFonts w:ascii="Arial" w:cs="Arial" w:eastAsia="Arial" w:hAnsi="Arial"/>
                <w:sz w:val="16"/>
                <w:szCs w:val="16"/>
                <w:b w:val="1"/>
                <w:bCs w:val="1"/>
                <w:color w:val="auto"/>
              </w:rPr>
              <w:t>Tax-related valuation allowance</w:t>
            </w:r>
          </w:p>
        </w:tc>
        <w:tc>
          <w:tcPr>
            <w:tcW w:w="120" w:type="dxa"/>
            <w:vAlign w:val="bottom"/>
          </w:tcPr>
          <w:p>
            <w:pPr>
              <w:spacing w:after="0"/>
              <w:rPr>
                <w:sz w:val="18"/>
                <w:szCs w:val="18"/>
                <w:color w:val="auto"/>
              </w:rPr>
            </w:pPr>
          </w:p>
        </w:tc>
        <w:tc>
          <w:tcPr>
            <w:tcW w:w="246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2580" w:type="dxa"/>
            <w:vAlign w:val="bottom"/>
            <w:gridSpan w:val="2"/>
          </w:tcPr>
          <w:p>
            <w:pPr>
              <w:ind w:left="400"/>
              <w:spacing w:after="0"/>
              <w:rPr>
                <w:sz w:val="20"/>
                <w:szCs w:val="20"/>
                <w:color w:val="auto"/>
              </w:rPr>
            </w:pPr>
            <w:r>
              <w:rPr>
                <w:rFonts w:ascii="Arial" w:cs="Arial" w:eastAsia="Arial" w:hAnsi="Arial"/>
                <w:sz w:val="16"/>
                <w:szCs w:val="16"/>
                <w:b w:val="1"/>
                <w:bCs w:val="1"/>
                <w:color w:val="auto"/>
              </w:rPr>
              <w:t>Additions / (deductions)</w:t>
            </w:r>
          </w:p>
        </w:tc>
        <w:tc>
          <w:tcPr>
            <w:tcW w:w="260" w:type="dxa"/>
            <w:vAlign w:val="bottom"/>
          </w:tcPr>
          <w:p>
            <w:pPr>
              <w:spacing w:after="0"/>
              <w:rPr>
                <w:sz w:val="18"/>
                <w:szCs w:val="18"/>
                <w:color w:val="auto"/>
              </w:rPr>
            </w:pPr>
          </w:p>
        </w:tc>
        <w:tc>
          <w:tcPr>
            <w:tcW w:w="2220" w:type="dxa"/>
            <w:vAlign w:val="bottom"/>
          </w:tcPr>
          <w:p>
            <w:pPr>
              <w:jc w:val="right"/>
              <w:ind w:right="312"/>
              <w:spacing w:after="0"/>
              <w:rPr>
                <w:sz w:val="20"/>
                <w:szCs w:val="20"/>
                <w:color w:val="auto"/>
              </w:rPr>
            </w:pPr>
            <w:r>
              <w:rPr>
                <w:rFonts w:ascii="Arial" w:cs="Arial" w:eastAsia="Arial" w:hAnsi="Arial"/>
                <w:sz w:val="16"/>
                <w:szCs w:val="16"/>
                <w:b w:val="1"/>
                <w:bCs w:val="1"/>
                <w:color w:val="auto"/>
                <w:w w:val="96"/>
              </w:rPr>
              <w:t>Balance at end of period</w:t>
            </w:r>
          </w:p>
        </w:tc>
      </w:tr>
      <w:tr>
        <w:trPr>
          <w:trHeight w:val="226"/>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3540" w:type="dxa"/>
            <w:vAlign w:val="bottom"/>
            <w:gridSpan w:val="2"/>
          </w:tcPr>
          <w:p>
            <w:pPr>
              <w:spacing w:after="0"/>
              <w:rPr>
                <w:sz w:val="20"/>
                <w:szCs w:val="20"/>
                <w:color w:val="auto"/>
              </w:rPr>
            </w:pPr>
            <w:r>
              <w:rPr>
                <w:rFonts w:ascii="Arial" w:cs="Arial" w:eastAsia="Arial" w:hAnsi="Arial"/>
                <w:sz w:val="18"/>
                <w:szCs w:val="18"/>
                <w:color w:val="auto"/>
              </w:rPr>
              <w:t>Year Ended December 31,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(3).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Exhibit</w:t>
      </w:r>
    </w:p>
    <w:p>
      <w:pPr>
        <w:ind w:left="260"/>
        <w:spacing w:after="0"/>
        <w:tabs>
          <w:tab w:leader="none" w:pos="5760" w:val="left"/>
        </w:tabs>
        <w:rPr>
          <w:sz w:val="20"/>
          <w:szCs w:val="20"/>
          <w:color w:val="auto"/>
        </w:rPr>
      </w:pPr>
      <w:r>
        <w:rPr>
          <w:rFonts w:ascii="Arial" w:cs="Arial" w:eastAsia="Arial" w:hAnsi="Arial"/>
          <w:sz w:val="20"/>
          <w:szCs w:val="20"/>
          <w:b w:val="1"/>
          <w:bCs w:val="1"/>
          <w:color w:val="auto"/>
        </w:rPr>
        <w:t>Number</w:t>
      </w:r>
      <w:r>
        <w:rPr>
          <w:sz w:val="20"/>
          <w:szCs w:val="20"/>
          <w:color w:val="auto"/>
        </w:rPr>
        <w:tab/>
      </w:r>
      <w:r>
        <w:rPr>
          <w:rFonts w:ascii="Arial" w:cs="Arial" w:eastAsia="Arial" w:hAnsi="Arial"/>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02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ind w:left="1300" w:right="80" w:hanging="829"/>
        <w:spacing w:after="0" w:line="244" w:lineRule="auto"/>
        <w:tabs>
          <w:tab w:leader="none" w:pos="1280" w:val="left"/>
        </w:tabs>
        <w:rPr>
          <w:rFonts w:ascii="Arial" w:cs="Arial" w:eastAsia="Arial" w:hAnsi="Arial"/>
          <w:sz w:val="18"/>
          <w:szCs w:val="18"/>
          <w:u w:val="single" w:color="auto"/>
          <w:color w:val="0000FF"/>
        </w:rPr>
      </w:pPr>
      <w:r>
        <w:rPr>
          <w:rFonts w:ascii="Arial" w:cs="Arial" w:eastAsia="Arial" w:hAnsi="Arial"/>
          <w:sz w:val="20"/>
          <w:szCs w:val="20"/>
          <w:color w:val="auto"/>
        </w:rPr>
        <w:t>2.1</w:t>
      </w:r>
      <w:r>
        <w:rPr>
          <w:sz w:val="20"/>
          <w:szCs w:val="20"/>
          <w:color w:val="auto"/>
        </w:rPr>
        <w:tab/>
      </w:r>
      <w:hyperlink r:id="rId158">
        <w:r>
          <w:rPr>
            <w:rFonts w:ascii="Arial" w:cs="Arial" w:eastAsia="Arial" w:hAnsi="Arial"/>
            <w:sz w:val="18"/>
            <w:szCs w:val="18"/>
            <w:u w:val="single" w:color="auto"/>
            <w:color w:val="0000FF"/>
          </w:rPr>
          <w:t>Agreement and Plan of Merger, dated as of January 30, 2013, entered into by and among Scientific Games Corporation,</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Scientific Games International, Inc., SG California Merger Sub, Inc. and WMS Industries Inc. (incorporated by reference to</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Exhibit 2.1 to Scientific Games Corporation’s Current Report on Form 8-K filed on February 5, 2013).</w:t>
        </w:r>
      </w:hyperlink>
    </w:p>
    <w:p>
      <w:pPr>
        <w:spacing w:after="0" w:line="192" w:lineRule="exact"/>
        <w:rPr>
          <w:rFonts w:ascii="Arial" w:cs="Arial" w:eastAsia="Arial" w:hAnsi="Arial"/>
          <w:sz w:val="18"/>
          <w:szCs w:val="18"/>
          <w:u w:val="single" w:color="auto"/>
          <w:color w:val="0000FF"/>
        </w:rPr>
      </w:pPr>
    </w:p>
    <w:p>
      <w:pPr>
        <w:ind w:left="1300" w:right="60" w:hanging="829"/>
        <w:spacing w:after="0" w:line="230" w:lineRule="auto"/>
        <w:tabs>
          <w:tab w:leader="none" w:pos="1280" w:val="left"/>
        </w:tabs>
        <w:rPr>
          <w:rFonts w:ascii="Arial" w:cs="Arial" w:eastAsia="Arial" w:hAnsi="Arial"/>
          <w:sz w:val="19"/>
          <w:szCs w:val="19"/>
          <w:u w:val="single" w:color="auto"/>
          <w:color w:val="0000FF"/>
        </w:rPr>
      </w:pPr>
      <w:r>
        <w:rPr>
          <w:rFonts w:ascii="Arial" w:cs="Arial" w:eastAsia="Arial" w:hAnsi="Arial"/>
          <w:sz w:val="20"/>
          <w:szCs w:val="20"/>
          <w:color w:val="auto"/>
        </w:rPr>
        <w:t>2.2</w:t>
      </w:r>
      <w:r>
        <w:rPr>
          <w:sz w:val="20"/>
          <w:szCs w:val="20"/>
          <w:color w:val="auto"/>
        </w:rPr>
        <w:tab/>
      </w:r>
      <w:hyperlink r:id="rId159">
        <w:r>
          <w:rPr>
            <w:rFonts w:ascii="Arial" w:cs="Arial" w:eastAsia="Arial" w:hAnsi="Arial"/>
            <w:sz w:val="19"/>
            <w:szCs w:val="19"/>
            <w:u w:val="single" w:color="auto"/>
            <w:color w:val="0000FF"/>
          </w:rPr>
          <w:t>Agreement and Plan of Merger, dated as of August 1, 2014, by and among the Scientific Games Corporation, Scientific</w:t>
        </w:r>
      </w:hyperlink>
      <w:r>
        <w:rPr>
          <w:rFonts w:ascii="Arial" w:cs="Arial" w:eastAsia="Arial" w:hAnsi="Arial"/>
          <w:sz w:val="19"/>
          <w:szCs w:val="19"/>
          <w:u w:val="single" w:color="auto"/>
          <w:color w:val="0000FF"/>
        </w:rPr>
        <w:t xml:space="preserve"> </w:t>
      </w:r>
      <w:hyperlink r:id="rId159">
        <w:r>
          <w:rPr>
            <w:rFonts w:ascii="Arial" w:cs="Arial" w:eastAsia="Arial" w:hAnsi="Arial"/>
            <w:sz w:val="19"/>
            <w:szCs w:val="19"/>
            <w:u w:val="single" w:color="auto"/>
            <w:color w:val="0000FF"/>
          </w:rPr>
          <w:t>Games International, Inc., Scientific Games Nevada, Inc. and Bally Technologies, Inc. (incorporated by reference to Exhibit</w:t>
        </w:r>
      </w:hyperlink>
      <w:r>
        <w:rPr>
          <w:rFonts w:ascii="Arial" w:cs="Arial" w:eastAsia="Arial" w:hAnsi="Arial"/>
          <w:sz w:val="19"/>
          <w:szCs w:val="19"/>
          <w:u w:val="single" w:color="auto"/>
          <w:color w:val="0000FF"/>
        </w:rPr>
        <w:t xml:space="preserve"> </w:t>
      </w:r>
      <w:hyperlink r:id="rId159">
        <w:r>
          <w:rPr>
            <w:rFonts w:ascii="Arial" w:cs="Arial" w:eastAsia="Arial" w:hAnsi="Arial"/>
            <w:sz w:val="19"/>
            <w:szCs w:val="19"/>
            <w:u w:val="single" w:color="auto"/>
            <w:color w:val="0000FF"/>
          </w:rPr>
          <w:t>2.1 to Scientific Games Corporation’s Current Report on Form 8-K filed on August 4, 2014).</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394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5" w:lineRule="exact"/>
        <w:rPr>
          <w:rFonts w:ascii="Arial" w:cs="Arial" w:eastAsia="Arial" w:hAnsi="Arial"/>
          <w:sz w:val="19"/>
          <w:szCs w:val="19"/>
          <w:u w:val="single" w:color="auto"/>
          <w:color w:val="0000FF"/>
        </w:rPr>
      </w:pPr>
    </w:p>
    <w:p>
      <w:pPr>
        <w:jc w:val="both"/>
        <w:ind w:left="1300" w:right="580" w:hanging="829"/>
        <w:spacing w:after="0" w:line="218" w:lineRule="auto"/>
        <w:tabs>
          <w:tab w:leader="none" w:pos="1280" w:val="left"/>
        </w:tabs>
        <w:rPr>
          <w:rFonts w:ascii="Arial" w:cs="Arial" w:eastAsia="Arial" w:hAnsi="Arial"/>
          <w:sz w:val="20"/>
          <w:szCs w:val="20"/>
          <w:u w:val="single" w:color="auto"/>
          <w:color w:val="0000FF"/>
        </w:rPr>
      </w:pPr>
      <w:r>
        <w:rPr>
          <w:rFonts w:ascii="Arial" w:cs="Arial" w:eastAsia="Arial" w:hAnsi="Arial"/>
          <w:sz w:val="20"/>
          <w:szCs w:val="20"/>
          <w:color w:val="auto"/>
        </w:rPr>
        <w:t>2.3</w:t>
      </w:r>
      <w:r>
        <w:rPr>
          <w:sz w:val="20"/>
          <w:szCs w:val="20"/>
          <w:color w:val="auto"/>
        </w:rPr>
        <w:tab/>
      </w:r>
      <w:hyperlink r:id="rId161">
        <w:r>
          <w:rPr>
            <w:rFonts w:ascii="Arial" w:cs="Arial" w:eastAsia="Arial" w:hAnsi="Arial"/>
            <w:sz w:val="20"/>
            <w:szCs w:val="20"/>
            <w:u w:val="single" w:color="auto"/>
            <w:color w:val="0000FF"/>
          </w:rPr>
          <w:t>Arrangement Agreement, dated as of September 20, 2017, among Scientific Games Corporation, Bally Gaming And</w:t>
        </w:r>
      </w:hyperlink>
      <w:r>
        <w:rPr>
          <w:rFonts w:ascii="Arial" w:cs="Arial" w:eastAsia="Arial" w:hAnsi="Arial"/>
          <w:sz w:val="20"/>
          <w:szCs w:val="20"/>
          <w:u w:val="single" w:color="auto"/>
          <w:color w:val="0000FF"/>
        </w:rPr>
        <w:t xml:space="preserve"> </w:t>
      </w:r>
      <w:hyperlink r:id="rId161">
        <w:r>
          <w:rPr>
            <w:rFonts w:ascii="Arial" w:cs="Arial" w:eastAsia="Arial" w:hAnsi="Arial"/>
            <w:sz w:val="20"/>
            <w:szCs w:val="20"/>
            <w:u w:val="single" w:color="auto"/>
            <w:color w:val="0000FF"/>
          </w:rPr>
          <w:t>Systems UK Limited and NYX Gaming Group Limited (incorporated by reference to Exhibit 2.1 to Scientific Games</w:t>
        </w:r>
      </w:hyperlink>
      <w:r>
        <w:rPr>
          <w:rFonts w:ascii="Arial" w:cs="Arial" w:eastAsia="Arial" w:hAnsi="Arial"/>
          <w:sz w:val="20"/>
          <w:szCs w:val="20"/>
          <w:u w:val="single" w:color="auto"/>
          <w:color w:val="0000FF"/>
        </w:rPr>
        <w:t xml:space="preserve"> </w:t>
      </w:r>
      <w:hyperlink r:id="rId161">
        <w:r>
          <w:rPr>
            <w:rFonts w:ascii="Arial" w:cs="Arial" w:eastAsia="Arial" w:hAnsi="Arial"/>
            <w:sz w:val="20"/>
            <w:szCs w:val="20"/>
            <w:u w:val="single" w:color="auto"/>
            <w:color w:val="0000FF"/>
          </w:rPr>
          <w:t>Corporation’s Current Report on Form 8-K filed on September 21, 2017).</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394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jc w:val="both"/>
        <w:ind w:left="1300" w:right="100" w:hanging="829"/>
        <w:spacing w:after="0" w:line="230" w:lineRule="auto"/>
        <w:tabs>
          <w:tab w:leader="none" w:pos="1280" w:val="left"/>
        </w:tabs>
        <w:rPr>
          <w:rFonts w:ascii="Arial" w:cs="Arial" w:eastAsia="Arial" w:hAnsi="Arial"/>
          <w:sz w:val="19"/>
          <w:szCs w:val="19"/>
          <w:u w:val="single" w:color="auto"/>
          <w:color w:val="0000FF"/>
        </w:rPr>
      </w:pPr>
      <w:r>
        <w:rPr>
          <w:rFonts w:ascii="Arial" w:cs="Arial" w:eastAsia="Arial" w:hAnsi="Arial"/>
          <w:sz w:val="20"/>
          <w:szCs w:val="20"/>
          <w:color w:val="auto"/>
        </w:rPr>
        <w:t>2.4</w:t>
      </w:r>
      <w:r>
        <w:rPr>
          <w:sz w:val="20"/>
          <w:szCs w:val="20"/>
          <w:color w:val="auto"/>
        </w:rPr>
        <w:tab/>
      </w:r>
      <w:hyperlink r:id="rId163">
        <w:r>
          <w:rPr>
            <w:rFonts w:ascii="Arial" w:cs="Arial" w:eastAsia="Arial" w:hAnsi="Arial"/>
            <w:sz w:val="19"/>
            <w:szCs w:val="19"/>
            <w:u w:val="single" w:color="auto"/>
            <w:color w:val="0000FF"/>
          </w:rPr>
          <w:t>First Amendment to Arrangement Agreement, dated as of November 21, 2017, among Scientific Games Corporation, Bally</w:t>
        </w:r>
      </w:hyperlink>
      <w:r>
        <w:rPr>
          <w:rFonts w:ascii="Arial" w:cs="Arial" w:eastAsia="Arial" w:hAnsi="Arial"/>
          <w:sz w:val="19"/>
          <w:szCs w:val="19"/>
          <w:u w:val="single" w:color="auto"/>
          <w:color w:val="0000FF"/>
        </w:rPr>
        <w:t xml:space="preserve"> </w:t>
      </w:r>
      <w:hyperlink r:id="rId163">
        <w:r>
          <w:rPr>
            <w:rFonts w:ascii="Arial" w:cs="Arial" w:eastAsia="Arial" w:hAnsi="Arial"/>
            <w:sz w:val="19"/>
            <w:szCs w:val="19"/>
            <w:u w:val="single" w:color="auto"/>
            <w:color w:val="0000FF"/>
          </w:rPr>
          <w:t>Gaming And Systems UK Limited and NYX Gaming Group Limited (incorporated by reference to Exhibit 2.1 to Scientific</w:t>
        </w:r>
      </w:hyperlink>
      <w:r>
        <w:rPr>
          <w:rFonts w:ascii="Arial" w:cs="Arial" w:eastAsia="Arial" w:hAnsi="Arial"/>
          <w:sz w:val="19"/>
          <w:szCs w:val="19"/>
          <w:u w:val="single" w:color="auto"/>
          <w:color w:val="0000FF"/>
        </w:rPr>
        <w:t xml:space="preserve"> </w:t>
      </w:r>
      <w:hyperlink r:id="rId163">
        <w:r>
          <w:rPr>
            <w:rFonts w:ascii="Arial" w:cs="Arial" w:eastAsia="Arial" w:hAnsi="Arial"/>
            <w:sz w:val="19"/>
            <w:szCs w:val="19"/>
            <w:u w:val="single" w:color="auto"/>
            <w:color w:val="0000FF"/>
          </w:rPr>
          <w:t>Games Corporation’s Current Report on Form 8-K filed on November 27, 2017).</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394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5" w:lineRule="exact"/>
        <w:rPr>
          <w:rFonts w:ascii="Arial" w:cs="Arial" w:eastAsia="Arial" w:hAnsi="Arial"/>
          <w:sz w:val="19"/>
          <w:szCs w:val="19"/>
          <w:u w:val="single" w:color="auto"/>
          <w:color w:val="0000FF"/>
        </w:rPr>
      </w:pPr>
    </w:p>
    <w:p>
      <w:pPr>
        <w:ind w:left="1300" w:right="20" w:hanging="829"/>
        <w:spacing w:after="0" w:line="213" w:lineRule="auto"/>
        <w:tabs>
          <w:tab w:leader="none" w:pos="1280" w:val="left"/>
        </w:tabs>
        <w:rPr>
          <w:rFonts w:ascii="Arial" w:cs="Arial" w:eastAsia="Arial" w:hAnsi="Arial"/>
          <w:sz w:val="20"/>
          <w:szCs w:val="20"/>
          <w:u w:val="single" w:color="auto"/>
          <w:color w:val="0000FF"/>
        </w:rPr>
      </w:pPr>
      <w:r>
        <w:rPr>
          <w:rFonts w:ascii="Arial" w:cs="Arial" w:eastAsia="Arial" w:hAnsi="Arial"/>
          <w:sz w:val="20"/>
          <w:szCs w:val="20"/>
          <w:color w:val="auto"/>
        </w:rPr>
        <w:t>2.5</w:t>
      </w:r>
      <w:r>
        <w:rPr>
          <w:sz w:val="20"/>
          <w:szCs w:val="20"/>
          <w:color w:val="auto"/>
        </w:rPr>
        <w:tab/>
      </w:r>
      <w:hyperlink r:id="rId165">
        <w:r>
          <w:rPr>
            <w:rFonts w:ascii="Arial" w:cs="Arial" w:eastAsia="Arial" w:hAnsi="Arial"/>
            <w:sz w:val="20"/>
            <w:szCs w:val="20"/>
            <w:u w:val="single" w:color="auto"/>
            <w:color w:val="0000FF"/>
          </w:rPr>
          <w:t>Agreement and Plan of Merger, dated as of September 18, 2017, by and between Scientific Games Corporation and SG</w:t>
        </w:r>
      </w:hyperlink>
      <w:r>
        <w:rPr>
          <w:rFonts w:ascii="Arial" w:cs="Arial" w:eastAsia="Arial" w:hAnsi="Arial"/>
          <w:sz w:val="20"/>
          <w:szCs w:val="20"/>
          <w:u w:val="single" w:color="auto"/>
          <w:color w:val="0000FF"/>
        </w:rPr>
        <w:t xml:space="preserve"> </w:t>
      </w:r>
      <w:hyperlink r:id="rId165">
        <w:r>
          <w:rPr>
            <w:rFonts w:ascii="Arial" w:cs="Arial" w:eastAsia="Arial" w:hAnsi="Arial"/>
            <w:sz w:val="20"/>
            <w:szCs w:val="20"/>
            <w:u w:val="single" w:color="auto"/>
            <w:color w:val="0000FF"/>
          </w:rPr>
          <w:t>Nevada Merger Company, a Nevada corporation and a wholly owned subsidiary of Scientific Games Corporation</w:t>
        </w:r>
      </w:hyperlink>
      <w:r>
        <w:rPr>
          <w:rFonts w:ascii="Arial" w:cs="Arial" w:eastAsia="Arial" w:hAnsi="Arial"/>
          <w:sz w:val="20"/>
          <w:szCs w:val="20"/>
          <w:u w:val="single" w:color="auto"/>
          <w:color w:val="0000FF"/>
        </w:rPr>
        <w:t xml:space="preserve"> </w:t>
      </w:r>
      <w:hyperlink r:id="rId165">
        <w:r>
          <w:rPr>
            <w:rFonts w:ascii="Arial" w:cs="Arial" w:eastAsia="Arial" w:hAnsi="Arial"/>
            <w:sz w:val="20"/>
            <w:szCs w:val="20"/>
            <w:u w:val="single" w:color="auto"/>
            <w:color w:val="0000FF"/>
          </w:rPr>
          <w:t>(incorporated by reference to Exhibit 2.1 to Scientific Games Corporation’s Current Report on Form 8-K filed on September</w:t>
        </w:r>
      </w:hyperlink>
      <w:r>
        <w:rPr>
          <w:rFonts w:ascii="Arial" w:cs="Arial" w:eastAsia="Arial" w:hAnsi="Arial"/>
          <w:sz w:val="20"/>
          <w:szCs w:val="20"/>
          <w:u w:val="single" w:color="auto"/>
          <w:color w:val="0000FF"/>
        </w:rPr>
        <w:t xml:space="preserve"> </w:t>
      </w:r>
      <w:hyperlink r:id="rId165">
        <w:r>
          <w:rPr>
            <w:rFonts w:ascii="Arial" w:cs="Arial" w:eastAsia="Arial" w:hAnsi="Arial"/>
            <w:sz w:val="20"/>
            <w:szCs w:val="20"/>
            <w:u w:val="single" w:color="auto"/>
            <w:color w:val="0000FF"/>
          </w:rPr>
          <w:t>18, 2017).</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-515620</wp:posOffset>
            </wp:positionV>
            <wp:extent cx="7132320" cy="514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1300" w:right="280" w:hanging="829"/>
        <w:spacing w:after="0" w:line="244" w:lineRule="auto"/>
        <w:tabs>
          <w:tab w:leader="none" w:pos="1280" w:val="left"/>
        </w:tabs>
        <w:rPr>
          <w:rFonts w:ascii="Arial" w:cs="Arial" w:eastAsia="Arial" w:hAnsi="Arial"/>
          <w:sz w:val="18"/>
          <w:szCs w:val="18"/>
          <w:u w:val="single" w:color="auto"/>
          <w:color w:val="0000FF"/>
        </w:rPr>
      </w:pPr>
      <w:r>
        <w:rPr>
          <w:rFonts w:ascii="Arial" w:cs="Arial" w:eastAsia="Arial" w:hAnsi="Arial"/>
          <w:sz w:val="20"/>
          <w:szCs w:val="20"/>
          <w:color w:val="auto"/>
        </w:rPr>
        <w:t>2.6</w:t>
      </w:r>
      <w:r>
        <w:rPr>
          <w:sz w:val="20"/>
          <w:szCs w:val="20"/>
          <w:color w:val="auto"/>
        </w:rPr>
        <w:tab/>
      </w:r>
      <w:hyperlink r:id="rId167">
        <w:r>
          <w:rPr>
            <w:rFonts w:ascii="Arial" w:cs="Arial" w:eastAsia="Arial" w:hAnsi="Arial"/>
            <w:sz w:val="18"/>
            <w:szCs w:val="18"/>
            <w:u w:val="single" w:color="auto"/>
            <w:color w:val="0000FF"/>
          </w:rPr>
          <w:t>Equity Purchase Agreement, dated as of September 27, 2021, by and among Scientific Games Corporation, Endeavor</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Operating Company, LLC and Endeavor Group Holdings, Inc. (solely for the purposes set forth therein) (incorporated by</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reference to Exhibit 2.1 to Scientific Games Corporation's Current Report on Form 8-K filed on September 28,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394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2" w:lineRule="exact"/>
        <w:rPr>
          <w:rFonts w:ascii="Arial" w:cs="Arial" w:eastAsia="Arial" w:hAnsi="Arial"/>
          <w:sz w:val="18"/>
          <w:szCs w:val="18"/>
          <w:u w:val="single" w:color="auto"/>
          <w:color w:val="0000FF"/>
        </w:rPr>
      </w:pPr>
    </w:p>
    <w:p>
      <w:pPr>
        <w:ind w:left="1300" w:right="120" w:hanging="829"/>
        <w:spacing w:after="0" w:line="218" w:lineRule="auto"/>
        <w:tabs>
          <w:tab w:leader="none" w:pos="1280" w:val="left"/>
        </w:tabs>
        <w:rPr>
          <w:rFonts w:ascii="Arial" w:cs="Arial" w:eastAsia="Arial" w:hAnsi="Arial"/>
          <w:sz w:val="20"/>
          <w:szCs w:val="20"/>
          <w:u w:val="single" w:color="auto"/>
          <w:color w:val="0000FF"/>
        </w:rPr>
      </w:pPr>
      <w:r>
        <w:rPr>
          <w:rFonts w:ascii="Arial" w:cs="Arial" w:eastAsia="Arial" w:hAnsi="Arial"/>
          <w:sz w:val="20"/>
          <w:szCs w:val="20"/>
          <w:color w:val="auto"/>
        </w:rPr>
        <w:t>2.7</w:t>
      </w:r>
      <w:r>
        <w:rPr>
          <w:sz w:val="20"/>
          <w:szCs w:val="20"/>
          <w:color w:val="auto"/>
        </w:rPr>
        <w:tab/>
      </w:r>
      <w:hyperlink r:id="rId169">
        <w:r>
          <w:rPr>
            <w:rFonts w:ascii="Arial" w:cs="Arial" w:eastAsia="Arial" w:hAnsi="Arial"/>
            <w:sz w:val="20"/>
            <w:szCs w:val="20"/>
            <w:u w:val="single" w:color="auto"/>
            <w:color w:val="0000FF"/>
          </w:rPr>
          <w:t>Equity Purchase Agreement, dated as of October 27, 2021, by and between Scientific Games Corporation and BCP</w:t>
        </w:r>
      </w:hyperlink>
      <w:r>
        <w:rPr>
          <w:rFonts w:ascii="Arial" w:cs="Arial" w:eastAsia="Arial" w:hAnsi="Arial"/>
          <w:sz w:val="20"/>
          <w:szCs w:val="20"/>
          <w:u w:val="single" w:color="auto"/>
          <w:color w:val="0000FF"/>
        </w:rPr>
        <w:t xml:space="preserve"> </w:t>
      </w:r>
      <w:hyperlink r:id="rId169">
        <w:r>
          <w:rPr>
            <w:rFonts w:ascii="Arial" w:cs="Arial" w:eastAsia="Arial" w:hAnsi="Arial"/>
            <w:sz w:val="20"/>
            <w:szCs w:val="20"/>
            <w:u w:val="single" w:color="auto"/>
            <w:color w:val="0000FF"/>
          </w:rPr>
          <w:t>Acquisitions LLC (incorporated by reference to Exhibit 2.1 to Scientific Games Corporation's Current Report on Form 8-K</w:t>
        </w:r>
      </w:hyperlink>
      <w:r>
        <w:rPr>
          <w:rFonts w:ascii="Arial" w:cs="Arial" w:eastAsia="Arial" w:hAnsi="Arial"/>
          <w:sz w:val="20"/>
          <w:szCs w:val="20"/>
          <w:u w:val="single" w:color="auto"/>
          <w:color w:val="0000FF"/>
        </w:rPr>
        <w:t xml:space="preserve"> </w:t>
      </w:r>
      <w:hyperlink r:id="rId169">
        <w:r>
          <w:rPr>
            <w:rFonts w:ascii="Arial" w:cs="Arial" w:eastAsia="Arial" w:hAnsi="Arial"/>
            <w:sz w:val="20"/>
            <w:szCs w:val="20"/>
            <w:u w:val="single" w:color="auto"/>
            <w:color w:val="0000FF"/>
          </w:rPr>
          <w:t>filed on October 28,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3943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1300" w:right="20" w:hanging="939"/>
        <w:spacing w:after="0" w:line="242" w:lineRule="auto"/>
        <w:tabs>
          <w:tab w:leader="none" w:pos="1280" w:val="left"/>
        </w:tabs>
        <w:rPr>
          <w:rFonts w:ascii="Arial" w:cs="Arial" w:eastAsia="Arial" w:hAnsi="Arial"/>
          <w:sz w:val="19"/>
          <w:szCs w:val="19"/>
          <w:u w:val="single" w:color="auto"/>
          <w:color w:val="0000FF"/>
        </w:rPr>
      </w:pPr>
      <w:r>
        <w:rPr>
          <w:rFonts w:ascii="Arial" w:cs="Arial" w:eastAsia="Arial" w:hAnsi="Arial"/>
          <w:sz w:val="20"/>
          <w:szCs w:val="20"/>
          <w:color w:val="auto"/>
        </w:rPr>
        <w:t>3.1(a)</w:t>
      </w:r>
      <w:r>
        <w:rPr>
          <w:sz w:val="20"/>
          <w:szCs w:val="20"/>
          <w:color w:val="auto"/>
        </w:rPr>
        <w:tab/>
      </w:r>
      <w:hyperlink r:id="rId171">
        <w:r>
          <w:rPr>
            <w:rFonts w:ascii="Arial" w:cs="Arial" w:eastAsia="Arial" w:hAnsi="Arial"/>
            <w:sz w:val="19"/>
            <w:szCs w:val="19"/>
            <w:u w:val="single" w:color="auto"/>
            <w:color w:val="0000FF"/>
          </w:rPr>
          <w:t>Articles of Merger filed with the Secretary of State of the State of Nevada on January 10, 2018 (incorporated by reference to</w:t>
        </w:r>
      </w:hyperlink>
      <w:r>
        <w:rPr>
          <w:rFonts w:ascii="Arial" w:cs="Arial" w:eastAsia="Arial" w:hAnsi="Arial"/>
          <w:sz w:val="19"/>
          <w:szCs w:val="19"/>
          <w:u w:val="single" w:color="auto"/>
          <w:color w:val="0000FF"/>
        </w:rPr>
        <w:t xml:space="preserve"> </w:t>
      </w:r>
      <w:hyperlink r:id="rId171">
        <w:r>
          <w:rPr>
            <w:rFonts w:ascii="Arial" w:cs="Arial" w:eastAsia="Arial" w:hAnsi="Arial"/>
            <w:sz w:val="19"/>
            <w:szCs w:val="19"/>
            <w:u w:val="single" w:color="auto"/>
            <w:color w:val="0000FF"/>
          </w:rPr>
          <w:t>Exhibit 3.3 to Scientific Games Corporation’s Current Report on Form 8-K filed on January 10,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274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4" w:lineRule="exact"/>
        <w:rPr>
          <w:sz w:val="20"/>
          <w:szCs w:val="20"/>
          <w:color w:val="auto"/>
        </w:rPr>
      </w:pPr>
    </w:p>
    <w:p>
      <w:pPr>
        <w:ind w:left="1300" w:right="640" w:hanging="944"/>
        <w:spacing w:after="0" w:line="269" w:lineRule="auto"/>
        <w:tabs>
          <w:tab w:leader="none" w:pos="1280" w:val="left"/>
        </w:tabs>
        <w:rPr>
          <w:rFonts w:ascii="Arial" w:cs="Arial" w:eastAsia="Arial" w:hAnsi="Arial"/>
          <w:sz w:val="18"/>
          <w:szCs w:val="18"/>
          <w:u w:val="single" w:color="auto"/>
          <w:color w:val="0000FF"/>
        </w:rPr>
      </w:pPr>
      <w:r>
        <w:rPr>
          <w:rFonts w:ascii="Arial" w:cs="Arial" w:eastAsia="Arial" w:hAnsi="Arial"/>
          <w:sz w:val="20"/>
          <w:szCs w:val="20"/>
          <w:color w:val="auto"/>
        </w:rPr>
        <w:t>3.1(b)</w:t>
      </w:r>
      <w:r>
        <w:rPr>
          <w:sz w:val="20"/>
          <w:szCs w:val="20"/>
          <w:color w:val="auto"/>
        </w:rPr>
        <w:tab/>
      </w:r>
      <w:hyperlink r:id="rId173">
        <w:r>
          <w:rPr>
            <w:rFonts w:ascii="Arial" w:cs="Arial" w:eastAsia="Arial" w:hAnsi="Arial"/>
            <w:sz w:val="18"/>
            <w:szCs w:val="18"/>
            <w:u w:val="single" w:color="auto"/>
            <w:color w:val="0000FF"/>
          </w:rPr>
          <w:t>Certificate of Merger filed with the Secretary of State of the State of Delaware on January 10, 2018 (incorporated by</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reference to Exhibit 3.4 to Scientific Games Corporation's Current Report on Form 8-K filed on January 10,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274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1" w:lineRule="exact"/>
        <w:rPr>
          <w:sz w:val="20"/>
          <w:szCs w:val="20"/>
          <w:color w:val="auto"/>
        </w:rPr>
      </w:pPr>
    </w:p>
    <w:p>
      <w:pPr>
        <w:jc w:val="both"/>
        <w:ind w:left="1300" w:right="280" w:hanging="939"/>
        <w:spacing w:after="0" w:line="218" w:lineRule="auto"/>
        <w:tabs>
          <w:tab w:leader="none" w:pos="1280" w:val="left"/>
        </w:tabs>
        <w:rPr>
          <w:rFonts w:ascii="Arial" w:cs="Arial" w:eastAsia="Arial" w:hAnsi="Arial"/>
          <w:sz w:val="20"/>
          <w:szCs w:val="20"/>
          <w:u w:val="single" w:color="auto"/>
          <w:color w:val="0000FF"/>
        </w:rPr>
      </w:pPr>
      <w:r>
        <w:rPr>
          <w:rFonts w:ascii="Arial" w:cs="Arial" w:eastAsia="Arial" w:hAnsi="Arial"/>
          <w:sz w:val="20"/>
          <w:szCs w:val="20"/>
          <w:color w:val="auto"/>
        </w:rPr>
        <w:t>3.1(c)</w:t>
      </w:r>
      <w:r>
        <w:rPr>
          <w:sz w:val="20"/>
          <w:szCs w:val="20"/>
          <w:color w:val="auto"/>
        </w:rPr>
        <w:tab/>
      </w:r>
      <w:hyperlink r:id="rId175">
        <w:r>
          <w:rPr>
            <w:rFonts w:ascii="Arial" w:cs="Arial" w:eastAsia="Arial" w:hAnsi="Arial"/>
            <w:sz w:val="20"/>
            <w:szCs w:val="20"/>
            <w:u w:val="single" w:color="auto"/>
            <w:color w:val="0000FF"/>
          </w:rPr>
          <w:t>Amended and Restated Articles of Incorporation of Scientific Games Corporation, filed with the Secretary of State of the</w:t>
        </w:r>
      </w:hyperlink>
      <w:r>
        <w:rPr>
          <w:rFonts w:ascii="Arial" w:cs="Arial" w:eastAsia="Arial" w:hAnsi="Arial"/>
          <w:sz w:val="20"/>
          <w:szCs w:val="20"/>
          <w:u w:val="single" w:color="auto"/>
          <w:color w:val="0000FF"/>
        </w:rPr>
        <w:t xml:space="preserve"> </w:t>
      </w:r>
      <w:hyperlink r:id="rId175">
        <w:r>
          <w:rPr>
            <w:rFonts w:ascii="Arial" w:cs="Arial" w:eastAsia="Arial" w:hAnsi="Arial"/>
            <w:sz w:val="20"/>
            <w:szCs w:val="20"/>
            <w:u w:val="single" w:color="auto"/>
            <w:color w:val="0000FF"/>
          </w:rPr>
          <w:t>State of Nevada on January 10, 2018 (incorporated by reference to Exhibit 3.1 to Scientific Games Corporation’s Current</w:t>
        </w:r>
      </w:hyperlink>
      <w:r>
        <w:rPr>
          <w:rFonts w:ascii="Arial" w:cs="Arial" w:eastAsia="Arial" w:hAnsi="Arial"/>
          <w:sz w:val="20"/>
          <w:szCs w:val="20"/>
          <w:u w:val="single" w:color="auto"/>
          <w:color w:val="0000FF"/>
        </w:rPr>
        <w:t xml:space="preserve"> </w:t>
      </w:r>
      <w:hyperlink r:id="rId175">
        <w:r>
          <w:rPr>
            <w:rFonts w:ascii="Arial" w:cs="Arial" w:eastAsia="Arial" w:hAnsi="Arial"/>
            <w:sz w:val="20"/>
            <w:szCs w:val="20"/>
            <w:u w:val="single" w:color="auto"/>
            <w:color w:val="0000FF"/>
          </w:rPr>
          <w:t>Report on Form 8-K filed on January 10, 2018).</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3943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1300" w:right="100" w:hanging="944"/>
        <w:spacing w:after="0" w:line="218" w:lineRule="auto"/>
        <w:tabs>
          <w:tab w:leader="none" w:pos="1280" w:val="left"/>
        </w:tabs>
        <w:rPr>
          <w:rFonts w:ascii="Arial" w:cs="Arial" w:eastAsia="Arial" w:hAnsi="Arial"/>
          <w:sz w:val="20"/>
          <w:szCs w:val="20"/>
          <w:u w:val="single" w:color="auto"/>
          <w:color w:val="0000FF"/>
        </w:rPr>
      </w:pPr>
      <w:r>
        <w:rPr>
          <w:rFonts w:ascii="Arial" w:cs="Arial" w:eastAsia="Arial" w:hAnsi="Arial"/>
          <w:sz w:val="20"/>
          <w:szCs w:val="20"/>
          <w:color w:val="auto"/>
        </w:rPr>
        <w:t>3.1(d)</w:t>
      </w:r>
      <w:r>
        <w:rPr>
          <w:sz w:val="20"/>
          <w:szCs w:val="20"/>
          <w:color w:val="auto"/>
        </w:rPr>
        <w:tab/>
      </w:r>
      <w:hyperlink r:id="rId177">
        <w:r>
          <w:rPr>
            <w:rFonts w:ascii="Arial" w:cs="Arial" w:eastAsia="Arial" w:hAnsi="Arial"/>
            <w:sz w:val="20"/>
            <w:szCs w:val="20"/>
            <w:u w:val="single" w:color="auto"/>
            <w:color w:val="0000FF"/>
          </w:rPr>
          <w:t>Certificate of Designation of Series A Junior Participating Preferred Stock of Scientific Games Corporation, filed with the</w:t>
        </w:r>
      </w:hyperlink>
      <w:r>
        <w:rPr>
          <w:rFonts w:ascii="Arial" w:cs="Arial" w:eastAsia="Arial" w:hAnsi="Arial"/>
          <w:sz w:val="20"/>
          <w:szCs w:val="20"/>
          <w:u w:val="single" w:color="auto"/>
          <w:color w:val="0000FF"/>
        </w:rPr>
        <w:t xml:space="preserve"> </w:t>
      </w:r>
      <w:hyperlink r:id="rId177">
        <w:r>
          <w:rPr>
            <w:rFonts w:ascii="Arial" w:cs="Arial" w:eastAsia="Arial" w:hAnsi="Arial"/>
            <w:sz w:val="20"/>
            <w:szCs w:val="20"/>
            <w:u w:val="single" w:color="auto"/>
            <w:color w:val="0000FF"/>
          </w:rPr>
          <w:t>Secretary of State of the State of Nevada on January 10, 2018 (incorporated by reference to Exhibit 3.5 to Scientific Games</w:t>
        </w:r>
      </w:hyperlink>
      <w:r>
        <w:rPr>
          <w:rFonts w:ascii="Arial" w:cs="Arial" w:eastAsia="Arial" w:hAnsi="Arial"/>
          <w:sz w:val="20"/>
          <w:szCs w:val="20"/>
          <w:u w:val="single" w:color="auto"/>
          <w:color w:val="0000FF"/>
        </w:rPr>
        <w:t xml:space="preserve"> </w:t>
      </w:r>
      <w:hyperlink r:id="rId177">
        <w:r>
          <w:rPr>
            <w:rFonts w:ascii="Arial" w:cs="Arial" w:eastAsia="Arial" w:hAnsi="Arial"/>
            <w:sz w:val="20"/>
            <w:szCs w:val="20"/>
            <w:u w:val="single" w:color="auto"/>
            <w:color w:val="0000FF"/>
          </w:rPr>
          <w:t>Corporation’s Current Report on Form 8-K filed on January 10, 2018).</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3943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1300" w:hanging="829"/>
        <w:spacing w:after="0" w:line="242" w:lineRule="auto"/>
        <w:tabs>
          <w:tab w:leader="none" w:pos="1280" w:val="left"/>
        </w:tabs>
        <w:rPr>
          <w:rFonts w:ascii="Arial" w:cs="Arial" w:eastAsia="Arial" w:hAnsi="Arial"/>
          <w:sz w:val="19"/>
          <w:szCs w:val="19"/>
          <w:u w:val="single" w:color="auto"/>
          <w:color w:val="0000FF"/>
        </w:rPr>
      </w:pPr>
      <w:r>
        <w:rPr>
          <w:rFonts w:ascii="Arial" w:cs="Arial" w:eastAsia="Arial" w:hAnsi="Arial"/>
          <w:sz w:val="20"/>
          <w:szCs w:val="20"/>
          <w:color w:val="auto"/>
        </w:rPr>
        <w:t>3.2</w:t>
      </w:r>
      <w:r>
        <w:rPr>
          <w:sz w:val="20"/>
          <w:szCs w:val="20"/>
          <w:color w:val="auto"/>
        </w:rPr>
        <w:tab/>
      </w:r>
      <w:hyperlink r:id="rId179">
        <w:r>
          <w:rPr>
            <w:rFonts w:ascii="Arial" w:cs="Arial" w:eastAsia="Arial" w:hAnsi="Arial"/>
            <w:sz w:val="19"/>
            <w:szCs w:val="19"/>
            <w:u w:val="single" w:color="auto"/>
            <w:color w:val="0000FF"/>
          </w:rPr>
          <w:t>Amended and Restated Bylaws of Scientific Games Corporation, effective as of January 10, 2018 (incorporated by reference</w:t>
        </w:r>
      </w:hyperlink>
      <w:r>
        <w:rPr>
          <w:rFonts w:ascii="Arial" w:cs="Arial" w:eastAsia="Arial" w:hAnsi="Arial"/>
          <w:sz w:val="19"/>
          <w:szCs w:val="19"/>
          <w:u w:val="single" w:color="auto"/>
          <w:color w:val="0000FF"/>
        </w:rPr>
        <w:t xml:space="preserve"> </w:t>
      </w:r>
      <w:hyperlink r:id="rId179">
        <w:r>
          <w:rPr>
            <w:rFonts w:ascii="Arial" w:cs="Arial" w:eastAsia="Arial" w:hAnsi="Arial"/>
            <w:sz w:val="19"/>
            <w:szCs w:val="19"/>
            <w:u w:val="single" w:color="auto"/>
            <w:color w:val="0000FF"/>
          </w:rPr>
          <w:t>to Exhibit 3.2 to Scientific Games Corporation’s Current Report on Form 8-K filed on January 10,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274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32" w:name="page133"/>
    <w:bookmarkEnd w:id="132"/>
    <w:p>
      <w:pPr>
        <w:ind w:left="820" w:right="60" w:hanging="829"/>
        <w:spacing w:after="0" w:line="213" w:lineRule="auto"/>
        <w:tabs>
          <w:tab w:leader="none" w:pos="800" w:val="left"/>
        </w:tabs>
        <w:rPr>
          <w:rFonts w:ascii="Arial" w:cs="Arial" w:eastAsia="Arial" w:hAnsi="Arial"/>
          <w:sz w:val="20"/>
          <w:szCs w:val="20"/>
          <w:u w:val="single" w:color="auto"/>
          <w:color w:val="0000FF"/>
        </w:rPr>
      </w:pPr>
      <w:r>
        <w:rPr>
          <w:rFonts w:ascii="Arial" w:cs="Arial" w:eastAsia="Arial" w:hAnsi="Arial"/>
          <w:sz w:val="20"/>
          <w:szCs w:val="20"/>
          <w:color w:val="auto"/>
        </w:rPr>
        <w:t>4.1</w:t>
      </w:r>
      <w:r>
        <w:rPr>
          <w:sz w:val="20"/>
          <w:szCs w:val="20"/>
          <w:color w:val="auto"/>
        </w:rPr>
        <w:tab/>
      </w:r>
      <w:hyperlink r:id="rId182">
        <w:r>
          <w:rPr>
            <w:rFonts w:ascii="Arial" w:cs="Arial" w:eastAsia="Arial" w:hAnsi="Arial"/>
            <w:sz w:val="20"/>
            <w:szCs w:val="20"/>
            <w:u w:val="single" w:color="auto"/>
            <w:color w:val="0000FF"/>
          </w:rPr>
          <w:t>Indenture, dated as of June 4, 2014, among Scientific Games International, Inc., as issuer, Scientific Games Corporation and</w:t>
        </w:r>
      </w:hyperlink>
      <w:r>
        <w:rPr>
          <w:rFonts w:ascii="Arial" w:cs="Arial" w:eastAsia="Arial" w:hAnsi="Arial"/>
          <w:sz w:val="20"/>
          <w:szCs w:val="20"/>
          <w:u w:val="single" w:color="auto"/>
          <w:color w:val="0000FF"/>
        </w:rPr>
        <w:t xml:space="preserve"> </w:t>
      </w:r>
      <w:hyperlink r:id="rId182">
        <w:r>
          <w:rPr>
            <w:rFonts w:ascii="Arial" w:cs="Arial" w:eastAsia="Arial" w:hAnsi="Arial"/>
            <w:sz w:val="20"/>
            <w:szCs w:val="20"/>
            <w:u w:val="single" w:color="auto"/>
            <w:color w:val="0000FF"/>
          </w:rPr>
          <w:t>the other guarantors party thereto and Deutsche Bank Trust Company Americas, as trustee, relating to the 6.625% Senior</w:t>
        </w:r>
      </w:hyperlink>
      <w:r>
        <w:rPr>
          <w:rFonts w:ascii="Arial" w:cs="Arial" w:eastAsia="Arial" w:hAnsi="Arial"/>
          <w:sz w:val="20"/>
          <w:szCs w:val="20"/>
          <w:u w:val="single" w:color="auto"/>
          <w:color w:val="0000FF"/>
        </w:rPr>
        <w:t xml:space="preserve"> </w:t>
      </w:r>
      <w:hyperlink r:id="rId182">
        <w:r>
          <w:rPr>
            <w:rFonts w:ascii="Arial" w:cs="Arial" w:eastAsia="Arial" w:hAnsi="Arial"/>
            <w:sz w:val="20"/>
            <w:szCs w:val="20"/>
            <w:u w:val="single" w:color="auto"/>
            <w:color w:val="0000FF"/>
          </w:rPr>
          <w:t>Subordinated Notes due 2021 (incorporated by reference to Exhibit 4.1 to Scientific Games Corporation's Current Report on</w:t>
        </w:r>
      </w:hyperlink>
      <w:r>
        <w:rPr>
          <w:rFonts w:ascii="Arial" w:cs="Arial" w:eastAsia="Arial" w:hAnsi="Arial"/>
          <w:sz w:val="20"/>
          <w:szCs w:val="20"/>
          <w:u w:val="single" w:color="auto"/>
          <w:color w:val="0000FF"/>
        </w:rPr>
        <w:t xml:space="preserve"> </w:t>
      </w:r>
      <w:hyperlink r:id="rId182">
        <w:r>
          <w:rPr>
            <w:rFonts w:ascii="Arial" w:cs="Arial" w:eastAsia="Arial" w:hAnsi="Arial"/>
            <w:sz w:val="20"/>
            <w:szCs w:val="20"/>
            <w:u w:val="single" w:color="auto"/>
            <w:color w:val="0000FF"/>
          </w:rPr>
          <w:t>Form 8-K filed on June 6, 2014).</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-299085</wp:posOffset>
            </wp:positionH>
            <wp:positionV relativeFrom="paragraph">
              <wp:posOffset>-515620</wp:posOffset>
            </wp:positionV>
            <wp:extent cx="7132320" cy="514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20" w:right="80" w:hanging="829"/>
        <w:spacing w:after="0" w:line="206" w:lineRule="auto"/>
        <w:tabs>
          <w:tab w:leader="none" w:pos="800" w:val="left"/>
        </w:tabs>
        <w:rPr>
          <w:rFonts w:ascii="Arial" w:cs="Arial" w:eastAsia="Arial" w:hAnsi="Arial"/>
          <w:sz w:val="20"/>
          <w:szCs w:val="20"/>
          <w:u w:val="single" w:color="auto"/>
          <w:color w:val="0000FF"/>
        </w:rPr>
      </w:pPr>
      <w:r>
        <w:rPr>
          <w:rFonts w:ascii="Arial" w:cs="Arial" w:eastAsia="Arial" w:hAnsi="Arial"/>
          <w:sz w:val="20"/>
          <w:szCs w:val="20"/>
          <w:color w:val="auto"/>
        </w:rPr>
        <w:t>4.2</w:t>
      </w:r>
      <w:r>
        <w:rPr>
          <w:sz w:val="20"/>
          <w:szCs w:val="20"/>
          <w:color w:val="auto"/>
        </w:rPr>
        <w:tab/>
      </w:r>
      <w:hyperlink r:id="rId184">
        <w:r>
          <w:rPr>
            <w:rFonts w:ascii="Arial" w:cs="Arial" w:eastAsia="Arial" w:hAnsi="Arial"/>
            <w:sz w:val="20"/>
            <w:szCs w:val="20"/>
            <w:u w:val="single" w:color="auto"/>
            <w:color w:val="0000FF"/>
          </w:rPr>
          <w:t>Supplemental Indenture, dated as of September 15, 2014, among Scientific Games International, Inc., as issuer, Scientific</w:t>
        </w:r>
      </w:hyperlink>
      <w:r>
        <w:rPr>
          <w:rFonts w:ascii="Arial" w:cs="Arial" w:eastAsia="Arial" w:hAnsi="Arial"/>
          <w:sz w:val="20"/>
          <w:szCs w:val="20"/>
          <w:u w:val="single" w:color="auto"/>
          <w:color w:val="0000FF"/>
        </w:rPr>
        <w:t xml:space="preserve"> </w:t>
      </w:r>
      <w:hyperlink r:id="rId184">
        <w:r>
          <w:rPr>
            <w:rFonts w:ascii="Arial" w:cs="Arial" w:eastAsia="Arial" w:hAnsi="Arial"/>
            <w:sz w:val="20"/>
            <w:szCs w:val="20"/>
            <w:u w:val="single" w:color="auto"/>
            <w:color w:val="0000FF"/>
          </w:rPr>
          <w:t>Games Corporation, Scientific Games Productions, LLC, Scientific Games Distribution, LLC and the other guarantors party</w:t>
        </w:r>
      </w:hyperlink>
      <w:r>
        <w:rPr>
          <w:rFonts w:ascii="Arial" w:cs="Arial" w:eastAsia="Arial" w:hAnsi="Arial"/>
          <w:sz w:val="20"/>
          <w:szCs w:val="20"/>
          <w:u w:val="single" w:color="auto"/>
          <w:color w:val="0000FF"/>
        </w:rPr>
        <w:t xml:space="preserve"> </w:t>
      </w:r>
      <w:hyperlink r:id="rId184">
        <w:r>
          <w:rPr>
            <w:rFonts w:ascii="Arial" w:cs="Arial" w:eastAsia="Arial" w:hAnsi="Arial"/>
            <w:sz w:val="20"/>
            <w:szCs w:val="20"/>
            <w:u w:val="single" w:color="auto"/>
            <w:color w:val="0000FF"/>
          </w:rPr>
          <w:t>thereto, and Deutsche Bank Trust Company Americas, as trustee, relating to the Indenture, dated as of June 4, 2014, among</w:t>
        </w:r>
      </w:hyperlink>
      <w:r>
        <w:rPr>
          <w:rFonts w:ascii="Arial" w:cs="Arial" w:eastAsia="Arial" w:hAnsi="Arial"/>
          <w:sz w:val="20"/>
          <w:szCs w:val="20"/>
          <w:u w:val="single" w:color="auto"/>
          <w:color w:val="0000FF"/>
        </w:rPr>
        <w:t xml:space="preserve"> </w:t>
      </w:r>
      <w:hyperlink r:id="rId184">
        <w:r>
          <w:rPr>
            <w:rFonts w:ascii="Arial" w:cs="Arial" w:eastAsia="Arial" w:hAnsi="Arial"/>
            <w:sz w:val="20"/>
            <w:szCs w:val="20"/>
            <w:u w:val="single" w:color="auto"/>
            <w:color w:val="0000FF"/>
          </w:rPr>
          <w:t>Scientific Games International, Inc., as issuer, Scientific Games Corporation and the other guarantors party thereto and</w:t>
        </w:r>
      </w:hyperlink>
      <w:r>
        <w:rPr>
          <w:rFonts w:ascii="Arial" w:cs="Arial" w:eastAsia="Arial" w:hAnsi="Arial"/>
          <w:sz w:val="20"/>
          <w:szCs w:val="20"/>
          <w:u w:val="single" w:color="auto"/>
          <w:color w:val="0000FF"/>
        </w:rPr>
        <w:t xml:space="preserve"> </w:t>
      </w:r>
      <w:hyperlink r:id="rId184">
        <w:r>
          <w:rPr>
            <w:rFonts w:ascii="Arial" w:cs="Arial" w:eastAsia="Arial" w:hAnsi="Arial"/>
            <w:sz w:val="20"/>
            <w:szCs w:val="20"/>
            <w:u w:val="single" w:color="auto"/>
            <w:color w:val="0000FF"/>
          </w:rPr>
          <w:t>Deutsche Bank Trust Company Americas, as trustee, relating to the 6.625% Senior Subordinated Notes due 2021</w:t>
        </w:r>
      </w:hyperlink>
      <w:r>
        <w:rPr>
          <w:rFonts w:ascii="Arial" w:cs="Arial" w:eastAsia="Arial" w:hAnsi="Arial"/>
          <w:sz w:val="20"/>
          <w:szCs w:val="20"/>
          <w:u w:val="single" w:color="auto"/>
          <w:color w:val="0000FF"/>
        </w:rPr>
        <w:t xml:space="preserve"> </w:t>
      </w:r>
      <w:hyperlink r:id="rId184">
        <w:r>
          <w:rPr>
            <w:rFonts w:ascii="Arial" w:cs="Arial" w:eastAsia="Arial" w:hAnsi="Arial"/>
            <w:sz w:val="20"/>
            <w:szCs w:val="20"/>
            <w:u w:val="single" w:color="auto"/>
            <w:color w:val="0000FF"/>
          </w:rPr>
          <w:t>(incorporated by reference to Exhibit 4.3 to Scientific Games Corporation's Quarterly Report on Form 10-Q for the quarter</w:t>
        </w:r>
      </w:hyperlink>
      <w:r>
        <w:rPr>
          <w:rFonts w:ascii="Arial" w:cs="Arial" w:eastAsia="Arial" w:hAnsi="Arial"/>
          <w:sz w:val="20"/>
          <w:szCs w:val="20"/>
          <w:u w:val="single" w:color="auto"/>
          <w:color w:val="0000FF"/>
        </w:rPr>
        <w:t xml:space="preserve"> </w:t>
      </w:r>
      <w:hyperlink r:id="rId184">
        <w:r>
          <w:rPr>
            <w:rFonts w:ascii="Arial" w:cs="Arial" w:eastAsia="Arial" w:hAnsi="Arial"/>
            <w:sz w:val="20"/>
            <w:szCs w:val="20"/>
            <w:u w:val="single" w:color="auto"/>
            <w:color w:val="0000FF"/>
          </w:rPr>
          <w:t>ended September 30, 2014).</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-299085</wp:posOffset>
            </wp:positionH>
            <wp:positionV relativeFrom="paragraph">
              <wp:posOffset>-874395</wp:posOffset>
            </wp:positionV>
            <wp:extent cx="7132320" cy="8743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178" w:lineRule="exact"/>
        <w:rPr>
          <w:rFonts w:ascii="Arial" w:cs="Arial" w:eastAsia="Arial" w:hAnsi="Arial"/>
          <w:sz w:val="20"/>
          <w:szCs w:val="20"/>
          <w:u w:val="single" w:color="auto"/>
          <w:color w:val="0000FF"/>
        </w:rPr>
      </w:pPr>
    </w:p>
    <w:p>
      <w:pPr>
        <w:ind w:left="820" w:right="60" w:hanging="829"/>
        <w:spacing w:after="0" w:line="215" w:lineRule="auto"/>
        <w:tabs>
          <w:tab w:leader="none" w:pos="800" w:val="left"/>
        </w:tabs>
        <w:rPr>
          <w:rFonts w:ascii="Arial" w:cs="Arial" w:eastAsia="Arial" w:hAnsi="Arial"/>
          <w:sz w:val="19"/>
          <w:szCs w:val="19"/>
          <w:u w:val="single" w:color="auto"/>
          <w:color w:val="0000FF"/>
        </w:rPr>
      </w:pPr>
      <w:r>
        <w:rPr>
          <w:rFonts w:ascii="Arial" w:cs="Arial" w:eastAsia="Arial" w:hAnsi="Arial"/>
          <w:sz w:val="20"/>
          <w:szCs w:val="20"/>
          <w:color w:val="auto"/>
        </w:rPr>
        <w:t>4.3</w:t>
      </w:r>
      <w:r>
        <w:rPr>
          <w:sz w:val="20"/>
          <w:szCs w:val="20"/>
          <w:color w:val="auto"/>
        </w:rPr>
        <w:tab/>
      </w:r>
      <w:hyperlink r:id="rId186">
        <w:r>
          <w:rPr>
            <w:rFonts w:ascii="Arial" w:cs="Arial" w:eastAsia="Arial" w:hAnsi="Arial"/>
            <w:sz w:val="19"/>
            <w:szCs w:val="19"/>
            <w:u w:val="single" w:color="auto"/>
            <w:color w:val="0000FF"/>
          </w:rPr>
          <w:t>Supplemental Indenture, dated as of November 21, 2014, among Scientific Games International, Inc., as issuer, Scientific</w:t>
        </w:r>
      </w:hyperlink>
      <w:r>
        <w:rPr>
          <w:rFonts w:ascii="Arial" w:cs="Arial" w:eastAsia="Arial" w:hAnsi="Arial"/>
          <w:sz w:val="19"/>
          <w:szCs w:val="19"/>
          <w:u w:val="single" w:color="auto"/>
          <w:color w:val="0000FF"/>
        </w:rPr>
        <w:t xml:space="preserve"> </w:t>
      </w:r>
      <w:hyperlink r:id="rId186">
        <w:r>
          <w:rPr>
            <w:rFonts w:ascii="Arial" w:cs="Arial" w:eastAsia="Arial" w:hAnsi="Arial"/>
            <w:sz w:val="19"/>
            <w:szCs w:val="19"/>
            <w:u w:val="single" w:color="auto"/>
            <w:color w:val="0000FF"/>
          </w:rPr>
          <w:t>Games Corporation, Bally Technologies, Inc., Casino Electronics, Inc., Alliance Holding Company, Bally Gaming</w:t>
        </w:r>
      </w:hyperlink>
      <w:r>
        <w:rPr>
          <w:rFonts w:ascii="Arial" w:cs="Arial" w:eastAsia="Arial" w:hAnsi="Arial"/>
          <w:sz w:val="19"/>
          <w:szCs w:val="19"/>
          <w:u w:val="single" w:color="auto"/>
          <w:color w:val="0000FF"/>
        </w:rPr>
        <w:t xml:space="preserve"> </w:t>
      </w:r>
      <w:hyperlink r:id="rId186">
        <w:r>
          <w:rPr>
            <w:rFonts w:ascii="Arial" w:cs="Arial" w:eastAsia="Arial" w:hAnsi="Arial"/>
            <w:sz w:val="19"/>
            <w:szCs w:val="19"/>
            <w:u w:val="single" w:color="auto"/>
            <w:color w:val="0000FF"/>
          </w:rPr>
          <w:t>International, Inc., Bally Gaming, Inc., Bally Gaming GP, LLC, Bally Gaming LP, LLC, Bally Properties East, LLC, Bally</w:t>
        </w:r>
      </w:hyperlink>
      <w:r>
        <w:rPr>
          <w:rFonts w:ascii="Arial" w:cs="Arial" w:eastAsia="Arial" w:hAnsi="Arial"/>
          <w:sz w:val="19"/>
          <w:szCs w:val="19"/>
          <w:u w:val="single" w:color="auto"/>
          <w:color w:val="0000FF"/>
        </w:rPr>
        <w:t xml:space="preserve"> </w:t>
      </w:r>
      <w:hyperlink r:id="rId186">
        <w:r>
          <w:rPr>
            <w:rFonts w:ascii="Arial" w:cs="Arial" w:eastAsia="Arial" w:hAnsi="Arial"/>
            <w:sz w:val="19"/>
            <w:szCs w:val="19"/>
            <w:u w:val="single" w:color="auto"/>
            <w:color w:val="0000FF"/>
          </w:rPr>
          <w:t>Properties West, LLC, Compudigm Services, Inc., SHFL Properties, LLC, Sierra Design Group, Arcade Planet, Inc. and the</w:t>
        </w:r>
      </w:hyperlink>
      <w:r>
        <w:rPr>
          <w:rFonts w:ascii="Arial" w:cs="Arial" w:eastAsia="Arial" w:hAnsi="Arial"/>
          <w:sz w:val="19"/>
          <w:szCs w:val="19"/>
          <w:u w:val="single" w:color="auto"/>
          <w:color w:val="0000FF"/>
        </w:rPr>
        <w:t xml:space="preserve"> </w:t>
      </w:r>
      <w:hyperlink r:id="rId186">
        <w:r>
          <w:rPr>
            <w:rFonts w:ascii="Arial" w:cs="Arial" w:eastAsia="Arial" w:hAnsi="Arial"/>
            <w:sz w:val="19"/>
            <w:szCs w:val="19"/>
            <w:u w:val="single" w:color="auto"/>
            <w:color w:val="0000FF"/>
          </w:rPr>
          <w:t>other guarantors party thereto, and Deutsche Bank Trust Company Americas, as successor trustee, relating to the Indenture,</w:t>
        </w:r>
      </w:hyperlink>
      <w:r>
        <w:rPr>
          <w:rFonts w:ascii="Arial" w:cs="Arial" w:eastAsia="Arial" w:hAnsi="Arial"/>
          <w:sz w:val="19"/>
          <w:szCs w:val="19"/>
          <w:u w:val="single" w:color="auto"/>
          <w:color w:val="0000FF"/>
        </w:rPr>
        <w:t xml:space="preserve"> </w:t>
      </w:r>
      <w:hyperlink r:id="rId186">
        <w:r>
          <w:rPr>
            <w:rFonts w:ascii="Arial" w:cs="Arial" w:eastAsia="Arial" w:hAnsi="Arial"/>
            <w:sz w:val="19"/>
            <w:szCs w:val="19"/>
            <w:u w:val="single" w:color="auto"/>
            <w:color w:val="0000FF"/>
          </w:rPr>
          <w:t>dated as of June 4, 2014, among Scientific Games International, Inc., as issuer, Scientific Games Corporation and the other</w:t>
        </w:r>
      </w:hyperlink>
      <w:r>
        <w:rPr>
          <w:rFonts w:ascii="Arial" w:cs="Arial" w:eastAsia="Arial" w:hAnsi="Arial"/>
          <w:sz w:val="19"/>
          <w:szCs w:val="19"/>
          <w:u w:val="single" w:color="auto"/>
          <w:color w:val="0000FF"/>
        </w:rPr>
        <w:t xml:space="preserve"> </w:t>
      </w:r>
      <w:hyperlink r:id="rId186">
        <w:r>
          <w:rPr>
            <w:rFonts w:ascii="Arial" w:cs="Arial" w:eastAsia="Arial" w:hAnsi="Arial"/>
            <w:sz w:val="19"/>
            <w:szCs w:val="19"/>
            <w:u w:val="single" w:color="auto"/>
            <w:color w:val="0000FF"/>
          </w:rPr>
          <w:t>guarantors party thereto and Deutsche Bank Trust Company Americas, as trustee, relating to the 6.625% Senior</w:t>
        </w:r>
      </w:hyperlink>
      <w:r>
        <w:rPr>
          <w:rFonts w:ascii="Arial" w:cs="Arial" w:eastAsia="Arial" w:hAnsi="Arial"/>
          <w:sz w:val="19"/>
          <w:szCs w:val="19"/>
          <w:u w:val="single" w:color="auto"/>
          <w:color w:val="0000FF"/>
        </w:rPr>
        <w:t xml:space="preserve"> </w:t>
      </w:r>
      <w:hyperlink r:id="rId186">
        <w:r>
          <w:rPr>
            <w:rFonts w:ascii="Arial" w:cs="Arial" w:eastAsia="Arial" w:hAnsi="Arial"/>
            <w:sz w:val="19"/>
            <w:szCs w:val="19"/>
            <w:u w:val="single" w:color="auto"/>
            <w:color w:val="0000FF"/>
          </w:rPr>
          <w:t>Subordinated Notes due 2021 (incorporated by reference to Exhibit 4.8 to Scientific Games Corporation's Current Report on</w:t>
        </w:r>
      </w:hyperlink>
      <w:r>
        <w:rPr>
          <w:rFonts w:ascii="Arial" w:cs="Arial" w:eastAsia="Arial" w:hAnsi="Arial"/>
          <w:sz w:val="19"/>
          <w:szCs w:val="19"/>
          <w:u w:val="single" w:color="auto"/>
          <w:color w:val="0000FF"/>
        </w:rPr>
        <w:t xml:space="preserve"> </w:t>
      </w:r>
      <w:hyperlink r:id="rId186">
        <w:r>
          <w:rPr>
            <w:rFonts w:ascii="Arial" w:cs="Arial" w:eastAsia="Arial" w:hAnsi="Arial"/>
            <w:sz w:val="19"/>
            <w:szCs w:val="19"/>
            <w:u w:val="single" w:color="auto"/>
            <w:color w:val="0000FF"/>
          </w:rPr>
          <w:t>Form 8-K filed on November 26, 2014).</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-299085</wp:posOffset>
            </wp:positionH>
            <wp:positionV relativeFrom="paragraph">
              <wp:posOffset>-1115695</wp:posOffset>
            </wp:positionV>
            <wp:extent cx="7132320" cy="11144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spacing w:after="0" w:line="176" w:lineRule="exact"/>
        <w:rPr>
          <w:rFonts w:ascii="Arial" w:cs="Arial" w:eastAsia="Arial" w:hAnsi="Arial"/>
          <w:sz w:val="19"/>
          <w:szCs w:val="19"/>
          <w:u w:val="single" w:color="auto"/>
          <w:color w:val="0000FF"/>
        </w:rPr>
      </w:pPr>
    </w:p>
    <w:p>
      <w:pPr>
        <w:ind w:left="820" w:hanging="829"/>
        <w:spacing w:after="0" w:line="231" w:lineRule="auto"/>
        <w:tabs>
          <w:tab w:leader="none" w:pos="800" w:val="left"/>
        </w:tabs>
        <w:rPr>
          <w:rFonts w:ascii="Arial" w:cs="Arial" w:eastAsia="Arial" w:hAnsi="Arial"/>
          <w:sz w:val="18"/>
          <w:szCs w:val="18"/>
          <w:u w:val="single" w:color="auto"/>
          <w:color w:val="0000FF"/>
        </w:rPr>
      </w:pPr>
      <w:r>
        <w:rPr>
          <w:rFonts w:ascii="Arial" w:cs="Arial" w:eastAsia="Arial" w:hAnsi="Arial"/>
          <w:sz w:val="20"/>
          <w:szCs w:val="20"/>
          <w:color w:val="auto"/>
        </w:rPr>
        <w:t>4.4</w:t>
      </w:r>
      <w:r>
        <w:rPr>
          <w:sz w:val="20"/>
          <w:szCs w:val="20"/>
          <w:color w:val="auto"/>
        </w:rPr>
        <w:tab/>
      </w:r>
      <w:hyperlink r:id="rId188">
        <w:r>
          <w:rPr>
            <w:rFonts w:ascii="Arial" w:cs="Arial" w:eastAsia="Arial" w:hAnsi="Arial"/>
            <w:sz w:val="18"/>
            <w:szCs w:val="18"/>
            <w:u w:val="single" w:color="auto"/>
            <w:color w:val="0000FF"/>
          </w:rPr>
          <w:t>Supplemental Indenture, dated as of October 2, 2015, among Scientific Games International, Inc., as issuer, Scientific Games</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Corporation, Go For A Million Productions, LLC and the other guarantors party thereto, and Deutsche Bank Trust Company</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Americas, as successor trustee, relating to the Indenture, dated as of June 4, 2014, among Scientific Games International,</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Inc., as issuer, Scientific Games Corporation and the other guarantors party thereto and Deutsche Bank Trust Company</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Americas, as trustee, relating to the 6.625% Senior Subordinated Notes due 2021 (incorporated by reference to Exhibit 4.3 to</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Scientific Games Corporation’s Quarterly Report on Form 10-Q for the quarter ended September 30,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-299085</wp:posOffset>
            </wp:positionH>
            <wp:positionV relativeFrom="paragraph">
              <wp:posOffset>-756285</wp:posOffset>
            </wp:positionV>
            <wp:extent cx="7132320" cy="7543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175" w:lineRule="exact"/>
        <w:rPr>
          <w:rFonts w:ascii="Arial" w:cs="Arial" w:eastAsia="Arial" w:hAnsi="Arial"/>
          <w:sz w:val="18"/>
          <w:szCs w:val="18"/>
          <w:u w:val="single" w:color="auto"/>
          <w:color w:val="0000FF"/>
        </w:rPr>
      </w:pPr>
    </w:p>
    <w:p>
      <w:pPr>
        <w:ind w:left="820" w:right="200" w:hanging="829"/>
        <w:spacing w:after="0" w:line="263" w:lineRule="auto"/>
        <w:tabs>
          <w:tab w:leader="none" w:pos="800" w:val="left"/>
        </w:tabs>
        <w:rPr>
          <w:rFonts w:ascii="Arial" w:cs="Arial" w:eastAsia="Arial" w:hAnsi="Arial"/>
          <w:sz w:val="16"/>
          <w:szCs w:val="16"/>
          <w:u w:val="single" w:color="auto"/>
          <w:color w:val="0000FF"/>
        </w:rPr>
      </w:pPr>
      <w:r>
        <w:rPr>
          <w:rFonts w:ascii="Arial" w:cs="Arial" w:eastAsia="Arial" w:hAnsi="Arial"/>
          <w:sz w:val="20"/>
          <w:szCs w:val="20"/>
          <w:color w:val="auto"/>
        </w:rPr>
        <w:t>4.5</w:t>
      </w:r>
      <w:r>
        <w:rPr>
          <w:sz w:val="20"/>
          <w:szCs w:val="20"/>
          <w:color w:val="auto"/>
        </w:rPr>
        <w:tab/>
      </w:r>
      <w:hyperlink r:id="rId190">
        <w:r>
          <w:rPr>
            <w:rFonts w:ascii="Arial" w:cs="Arial" w:eastAsia="Arial" w:hAnsi="Arial"/>
            <w:sz w:val="16"/>
            <w:szCs w:val="16"/>
            <w:u w:val="single" w:color="auto"/>
            <w:color w:val="0000FF"/>
          </w:rPr>
          <w:t>Supplemental Indenture, dated as of July 14, 2017, by and among Scientific Games International, Inc., as issuer, Scientific</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Games Corporation, Lapis Software Associates, LLC and the other guarantors party thereto, and Deutsche Bank Trust</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Company Americas, as successor trustee, relating to the Indenture, dated as of June 4, 2014, among Scientific Games</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International, Inc., as issuer, Scientific Games Corporation and the other guarantors party thereto and Deutsche Bank Trust</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Company Americas, as trustee, relating to the 6.625% Senior Subordinated Notes due 2021 (incorporated by reference to</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Exhibit 10.2 to Scientific Games Corporation’s Quarterly Report on Form 10-Q for the quarter ended June 30, 2017).</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-299085</wp:posOffset>
            </wp:positionH>
            <wp:positionV relativeFrom="paragraph">
              <wp:posOffset>-765175</wp:posOffset>
            </wp:positionV>
            <wp:extent cx="7132320" cy="7543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161" w:lineRule="exact"/>
        <w:rPr>
          <w:rFonts w:ascii="Arial" w:cs="Arial" w:eastAsia="Arial" w:hAnsi="Arial"/>
          <w:sz w:val="16"/>
          <w:szCs w:val="16"/>
          <w:u w:val="single" w:color="auto"/>
          <w:color w:val="0000FF"/>
        </w:rPr>
      </w:pPr>
    </w:p>
    <w:p>
      <w:pPr>
        <w:ind w:left="820" w:right="140" w:hanging="829"/>
        <w:spacing w:after="0" w:line="210" w:lineRule="auto"/>
        <w:tabs>
          <w:tab w:leader="none" w:pos="800" w:val="left"/>
        </w:tabs>
        <w:rPr>
          <w:rFonts w:ascii="Arial" w:cs="Arial" w:eastAsia="Arial" w:hAnsi="Arial"/>
          <w:sz w:val="20"/>
          <w:szCs w:val="20"/>
          <w:u w:val="single" w:color="auto"/>
          <w:color w:val="0000FF"/>
        </w:rPr>
      </w:pPr>
      <w:r>
        <w:rPr>
          <w:rFonts w:ascii="Arial" w:cs="Arial" w:eastAsia="Arial" w:hAnsi="Arial"/>
          <w:sz w:val="20"/>
          <w:szCs w:val="20"/>
          <w:color w:val="auto"/>
        </w:rPr>
        <w:t>4.6</w:t>
      </w:r>
      <w:r>
        <w:rPr>
          <w:sz w:val="20"/>
          <w:szCs w:val="20"/>
          <w:color w:val="auto"/>
        </w:rPr>
        <w:tab/>
      </w:r>
      <w:hyperlink r:id="rId192">
        <w:r>
          <w:rPr>
            <w:rFonts w:ascii="Arial" w:cs="Arial" w:eastAsia="Arial" w:hAnsi="Arial"/>
            <w:sz w:val="20"/>
            <w:szCs w:val="20"/>
            <w:u w:val="single" w:color="auto"/>
            <w:color w:val="0000FF"/>
          </w:rPr>
          <w:t>Supplemental Indenture, dated as of January 10, 2018, by and among Scientific Games International, Inc., the subsidiary</w:t>
        </w:r>
      </w:hyperlink>
      <w:r>
        <w:rPr>
          <w:rFonts w:ascii="Arial" w:cs="Arial" w:eastAsia="Arial" w:hAnsi="Arial"/>
          <w:sz w:val="20"/>
          <w:szCs w:val="20"/>
          <w:u w:val="single" w:color="auto"/>
          <w:color w:val="0000FF"/>
        </w:rPr>
        <w:t xml:space="preserve"> </w:t>
      </w:r>
      <w:hyperlink r:id="rId192">
        <w:r>
          <w:rPr>
            <w:rFonts w:ascii="Arial" w:cs="Arial" w:eastAsia="Arial" w:hAnsi="Arial"/>
            <w:sz w:val="20"/>
            <w:szCs w:val="20"/>
            <w:u w:val="single" w:color="auto"/>
            <w:color w:val="0000FF"/>
          </w:rPr>
          <w:t>guarantors party thereto, Scientific Games Corporation and Deutsche Bank Trust Company Americas, as trustee, relating to</w:t>
        </w:r>
      </w:hyperlink>
      <w:r>
        <w:rPr>
          <w:rFonts w:ascii="Arial" w:cs="Arial" w:eastAsia="Arial" w:hAnsi="Arial"/>
          <w:sz w:val="20"/>
          <w:szCs w:val="20"/>
          <w:u w:val="single" w:color="auto"/>
          <w:color w:val="0000FF"/>
        </w:rPr>
        <w:t xml:space="preserve"> </w:t>
      </w:r>
      <w:hyperlink r:id="rId192">
        <w:r>
          <w:rPr>
            <w:rFonts w:ascii="Arial" w:cs="Arial" w:eastAsia="Arial" w:hAnsi="Arial"/>
            <w:sz w:val="20"/>
            <w:szCs w:val="20"/>
            <w:u w:val="single" w:color="auto"/>
            <w:color w:val="0000FF"/>
          </w:rPr>
          <w:t>the Indenture, dated as of June 4, 2014, as amended and supplemented, relating to the 6.625% Senior Subordinated Notes</w:t>
        </w:r>
      </w:hyperlink>
      <w:r>
        <w:rPr>
          <w:rFonts w:ascii="Arial" w:cs="Arial" w:eastAsia="Arial" w:hAnsi="Arial"/>
          <w:sz w:val="20"/>
          <w:szCs w:val="20"/>
          <w:u w:val="single" w:color="auto"/>
          <w:color w:val="0000FF"/>
        </w:rPr>
        <w:t xml:space="preserve"> </w:t>
      </w:r>
      <w:hyperlink r:id="rId192">
        <w:r>
          <w:rPr>
            <w:rFonts w:ascii="Arial" w:cs="Arial" w:eastAsia="Arial" w:hAnsi="Arial"/>
            <w:sz w:val="20"/>
            <w:szCs w:val="20"/>
            <w:u w:val="single" w:color="auto"/>
            <w:color w:val="0000FF"/>
          </w:rPr>
          <w:t>due 2021 (incorporated by reference to Exhibit 4.5 to Scientific Games Corporation's Current Report on Form 8-K filed on</w:t>
        </w:r>
      </w:hyperlink>
      <w:r>
        <w:rPr>
          <w:rFonts w:ascii="Arial" w:cs="Arial" w:eastAsia="Arial" w:hAnsi="Arial"/>
          <w:sz w:val="20"/>
          <w:szCs w:val="20"/>
          <w:u w:val="single" w:color="auto"/>
          <w:color w:val="0000FF"/>
        </w:rPr>
        <w:t xml:space="preserve"> </w:t>
      </w:r>
      <w:hyperlink r:id="rId192">
        <w:r>
          <w:rPr>
            <w:rFonts w:ascii="Arial" w:cs="Arial" w:eastAsia="Arial" w:hAnsi="Arial"/>
            <w:sz w:val="20"/>
            <w:szCs w:val="20"/>
            <w:u w:val="single" w:color="auto"/>
            <w:color w:val="0000FF"/>
          </w:rPr>
          <w:t>January 10, 2018).</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-299085</wp:posOffset>
            </wp:positionH>
            <wp:positionV relativeFrom="paragraph">
              <wp:posOffset>-636270</wp:posOffset>
            </wp:positionV>
            <wp:extent cx="7132320" cy="6343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20" w:right="20" w:hanging="829"/>
        <w:spacing w:after="0" w:line="221" w:lineRule="auto"/>
        <w:tabs>
          <w:tab w:leader="none" w:pos="800" w:val="left"/>
        </w:tabs>
        <w:rPr>
          <w:rFonts w:ascii="Arial" w:cs="Arial" w:eastAsia="Arial" w:hAnsi="Arial"/>
          <w:sz w:val="19"/>
          <w:szCs w:val="19"/>
          <w:u w:val="single" w:color="auto"/>
          <w:color w:val="0000FF"/>
        </w:rPr>
      </w:pPr>
      <w:r>
        <w:rPr>
          <w:rFonts w:ascii="Arial" w:cs="Arial" w:eastAsia="Arial" w:hAnsi="Arial"/>
          <w:sz w:val="20"/>
          <w:szCs w:val="20"/>
          <w:color w:val="auto"/>
        </w:rPr>
        <w:t>4.7</w:t>
      </w:r>
      <w:r>
        <w:rPr>
          <w:sz w:val="20"/>
          <w:szCs w:val="20"/>
          <w:color w:val="auto"/>
        </w:rPr>
        <w:tab/>
      </w:r>
      <w:hyperlink r:id="rId194">
        <w:r>
          <w:rPr>
            <w:rFonts w:ascii="Arial" w:cs="Arial" w:eastAsia="Arial" w:hAnsi="Arial"/>
            <w:sz w:val="19"/>
            <w:szCs w:val="19"/>
            <w:u w:val="single" w:color="auto"/>
            <w:color w:val="0000FF"/>
          </w:rPr>
          <w:t>Supplemental Indenture, dated as of November 1, 2018, by and among Scientific Games International, Inc., as issuer,</w:t>
        </w:r>
      </w:hyperlink>
      <w:r>
        <w:rPr>
          <w:rFonts w:ascii="Arial" w:cs="Arial" w:eastAsia="Arial" w:hAnsi="Arial"/>
          <w:sz w:val="19"/>
          <w:szCs w:val="19"/>
          <w:u w:val="single" w:color="auto"/>
          <w:color w:val="0000FF"/>
        </w:rPr>
        <w:t xml:space="preserve"> </w:t>
      </w:r>
      <w:hyperlink r:id="rId194">
        <w:r>
          <w:rPr>
            <w:rFonts w:ascii="Arial" w:cs="Arial" w:eastAsia="Arial" w:hAnsi="Arial"/>
            <w:sz w:val="19"/>
            <w:szCs w:val="19"/>
            <w:u w:val="single" w:color="auto"/>
            <w:color w:val="0000FF"/>
          </w:rPr>
          <w:t>Scientific Games Corporation, Don Best Sports Corporation and the other guarantors party thereto, and Deutsche Bank Trust</w:t>
        </w:r>
      </w:hyperlink>
      <w:r>
        <w:rPr>
          <w:rFonts w:ascii="Arial" w:cs="Arial" w:eastAsia="Arial" w:hAnsi="Arial"/>
          <w:sz w:val="19"/>
          <w:szCs w:val="19"/>
          <w:u w:val="single" w:color="auto"/>
          <w:color w:val="0000FF"/>
        </w:rPr>
        <w:t xml:space="preserve"> </w:t>
      </w:r>
      <w:hyperlink r:id="rId194">
        <w:r>
          <w:rPr>
            <w:rFonts w:ascii="Arial" w:cs="Arial" w:eastAsia="Arial" w:hAnsi="Arial"/>
            <w:sz w:val="19"/>
            <w:szCs w:val="19"/>
            <w:u w:val="single" w:color="auto"/>
            <w:color w:val="0000FF"/>
          </w:rPr>
          <w:t>Company Americas, as trustee, relating to the Indenture, dated as of June 4, 2014, as amended and supplemented, relating to</w:t>
        </w:r>
      </w:hyperlink>
      <w:r>
        <w:rPr>
          <w:rFonts w:ascii="Arial" w:cs="Arial" w:eastAsia="Arial" w:hAnsi="Arial"/>
          <w:sz w:val="19"/>
          <w:szCs w:val="19"/>
          <w:u w:val="single" w:color="auto"/>
          <w:color w:val="0000FF"/>
        </w:rPr>
        <w:t xml:space="preserve"> </w:t>
      </w:r>
      <w:hyperlink r:id="rId194">
        <w:r>
          <w:rPr>
            <w:rFonts w:ascii="Arial" w:cs="Arial" w:eastAsia="Arial" w:hAnsi="Arial"/>
            <w:sz w:val="19"/>
            <w:szCs w:val="19"/>
            <w:u w:val="single" w:color="auto"/>
            <w:color w:val="0000FF"/>
          </w:rPr>
          <w:t>the 6.625% Senior Subordinated Notes due 2021 (incorporated by reference to Exhibit 4.25 to Scientific Games</w:t>
        </w:r>
      </w:hyperlink>
      <w:r>
        <w:rPr>
          <w:rFonts w:ascii="Arial" w:cs="Arial" w:eastAsia="Arial" w:hAnsi="Arial"/>
          <w:sz w:val="19"/>
          <w:szCs w:val="19"/>
          <w:u w:val="single" w:color="auto"/>
          <w:color w:val="0000FF"/>
        </w:rPr>
        <w:t xml:space="preserve"> </w:t>
      </w:r>
      <w:hyperlink r:id="rId194">
        <w:r>
          <w:rPr>
            <w:rFonts w:ascii="Arial" w:cs="Arial" w:eastAsia="Arial" w:hAnsi="Arial"/>
            <w:sz w:val="19"/>
            <w:szCs w:val="19"/>
            <w:u w:val="single" w:color="auto"/>
            <w:color w:val="0000FF"/>
          </w:rPr>
          <w:t>Corporation’s Annual Report on Form 10-K for the year ended December 31, 2018).</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-299085</wp:posOffset>
            </wp:positionH>
            <wp:positionV relativeFrom="paragraph">
              <wp:posOffset>-636270</wp:posOffset>
            </wp:positionV>
            <wp:extent cx="7132320" cy="6343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67" w:lineRule="exact"/>
        <w:rPr>
          <w:rFonts w:ascii="Arial" w:cs="Arial" w:eastAsia="Arial" w:hAnsi="Arial"/>
          <w:sz w:val="19"/>
          <w:szCs w:val="19"/>
          <w:u w:val="single" w:color="auto"/>
          <w:color w:val="0000FF"/>
        </w:rPr>
      </w:pPr>
    </w:p>
    <w:p>
      <w:pPr>
        <w:jc w:val="center"/>
        <w:ind w:right="460"/>
        <w:spacing w:after="0"/>
        <w:rPr>
          <w:sz w:val="20"/>
          <w:szCs w:val="20"/>
          <w:color w:val="auto"/>
        </w:rPr>
      </w:pPr>
      <w:r>
        <w:rPr>
          <w:rFonts w:ascii="Arial" w:cs="Arial" w:eastAsia="Arial" w:hAnsi="Arial"/>
          <w:sz w:val="18"/>
          <w:szCs w:val="18"/>
          <w:color w:val="auto"/>
        </w:rPr>
        <w:t>133</w:t>
      </w:r>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-311785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00" w:top="1135" w:right="359" w:bottom="1440" w:gutter="0" w:footer="0" w:header="0"/>
        </w:sectPr>
      </w:pPr>
    </w:p>
    <w:bookmarkStart w:id="133" w:name="page134"/>
    <w:bookmarkEnd w:id="133"/>
    <w:p>
      <w:pPr>
        <w:ind w:left="880" w:right="20" w:hanging="829"/>
        <w:spacing w:after="0" w:line="221" w:lineRule="auto"/>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4.8</w:t>
      </w:r>
      <w:r>
        <w:rPr>
          <w:sz w:val="20"/>
          <w:szCs w:val="20"/>
          <w:color w:val="auto"/>
        </w:rPr>
        <w:tab/>
      </w:r>
      <w:hyperlink r:id="rId197">
        <w:r>
          <w:rPr>
            <w:rFonts w:ascii="Arial" w:cs="Arial" w:eastAsia="Arial" w:hAnsi="Arial"/>
            <w:sz w:val="19"/>
            <w:szCs w:val="19"/>
            <w:u w:val="single" w:color="auto"/>
            <w:color w:val="0000FF"/>
          </w:rPr>
          <w:t>Supplemental Indenture, dated as of January 23, 2020, by and among Scientific Games International, Inc., as issuer,</w:t>
        </w:r>
      </w:hyperlink>
      <w:r>
        <w:rPr>
          <w:rFonts w:ascii="Arial" w:cs="Arial" w:eastAsia="Arial" w:hAnsi="Arial"/>
          <w:sz w:val="19"/>
          <w:szCs w:val="19"/>
          <w:u w:val="single" w:color="auto"/>
          <w:color w:val="0000FF"/>
        </w:rPr>
        <w:t xml:space="preserve"> </w:t>
      </w:r>
      <w:hyperlink r:id="rId197">
        <w:r>
          <w:rPr>
            <w:rFonts w:ascii="Arial" w:cs="Arial" w:eastAsia="Arial" w:hAnsi="Arial"/>
            <w:sz w:val="19"/>
            <w:szCs w:val="19"/>
            <w:u w:val="single" w:color="auto"/>
            <w:color w:val="0000FF"/>
          </w:rPr>
          <w:t>Scientific Games Corporation, NYX Digital Gaming (USA), LLC and the other guarantors party thereto, and Deutsche Bank</w:t>
        </w:r>
      </w:hyperlink>
      <w:r>
        <w:rPr>
          <w:rFonts w:ascii="Arial" w:cs="Arial" w:eastAsia="Arial" w:hAnsi="Arial"/>
          <w:sz w:val="19"/>
          <w:szCs w:val="19"/>
          <w:u w:val="single" w:color="auto"/>
          <w:color w:val="0000FF"/>
        </w:rPr>
        <w:t xml:space="preserve"> </w:t>
      </w:r>
      <w:hyperlink r:id="rId197">
        <w:r>
          <w:rPr>
            <w:rFonts w:ascii="Arial" w:cs="Arial" w:eastAsia="Arial" w:hAnsi="Arial"/>
            <w:sz w:val="19"/>
            <w:szCs w:val="19"/>
            <w:u w:val="single" w:color="auto"/>
            <w:color w:val="0000FF"/>
          </w:rPr>
          <w:t>Trust Company Americas, as trustee, relating to the Indenture, dated as of June 4, 2014, as amended and supplemented,</w:t>
        </w:r>
      </w:hyperlink>
      <w:r>
        <w:rPr>
          <w:rFonts w:ascii="Arial" w:cs="Arial" w:eastAsia="Arial" w:hAnsi="Arial"/>
          <w:sz w:val="19"/>
          <w:szCs w:val="19"/>
          <w:u w:val="single" w:color="auto"/>
          <w:color w:val="0000FF"/>
        </w:rPr>
        <w:t xml:space="preserve"> </w:t>
      </w:r>
      <w:hyperlink r:id="rId197">
        <w:r>
          <w:rPr>
            <w:rFonts w:ascii="Arial" w:cs="Arial" w:eastAsia="Arial" w:hAnsi="Arial"/>
            <w:sz w:val="19"/>
            <w:szCs w:val="19"/>
            <w:u w:val="single" w:color="auto"/>
            <w:color w:val="0000FF"/>
          </w:rPr>
          <w:t>relating to the 6.625% Senior Subordinated Notes due 2021 (incorporated by reference to Exhibit 4.18 to Scientific Games</w:t>
        </w:r>
      </w:hyperlink>
      <w:r>
        <w:rPr>
          <w:rFonts w:ascii="Arial" w:cs="Arial" w:eastAsia="Arial" w:hAnsi="Arial"/>
          <w:sz w:val="19"/>
          <w:szCs w:val="19"/>
          <w:u w:val="single" w:color="auto"/>
          <w:color w:val="0000FF"/>
        </w:rPr>
        <w:t xml:space="preserve"> </w:t>
      </w:r>
      <w:hyperlink r:id="rId197">
        <w:r>
          <w:rPr>
            <w:rFonts w:ascii="Arial" w:cs="Arial" w:eastAsia="Arial" w:hAnsi="Arial"/>
            <w:sz w:val="19"/>
            <w:szCs w:val="19"/>
            <w:u w:val="single" w:color="auto"/>
            <w:color w:val="0000FF"/>
          </w:rPr>
          <w:t>Corporation’s Annual Report on Form 10-K filed on February 18, 2020).</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6" w:lineRule="exact"/>
        <w:rPr>
          <w:rFonts w:ascii="Arial" w:cs="Arial" w:eastAsia="Arial" w:hAnsi="Arial"/>
          <w:sz w:val="19"/>
          <w:szCs w:val="19"/>
          <w:u w:val="single" w:color="auto"/>
          <w:color w:val="0000FF"/>
        </w:rPr>
      </w:pPr>
    </w:p>
    <w:p>
      <w:pPr>
        <w:ind w:left="880" w:right="120" w:hanging="829"/>
        <w:spacing w:after="0" w:line="230" w:lineRule="auto"/>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4.9</w:t>
      </w:r>
      <w:r>
        <w:rPr>
          <w:sz w:val="20"/>
          <w:szCs w:val="20"/>
          <w:color w:val="auto"/>
        </w:rPr>
        <w:tab/>
      </w:r>
      <w:hyperlink r:id="rId199">
        <w:r>
          <w:rPr>
            <w:rFonts w:ascii="Arial" w:cs="Arial" w:eastAsia="Arial" w:hAnsi="Arial"/>
            <w:sz w:val="19"/>
            <w:szCs w:val="19"/>
            <w:u w:val="single" w:color="auto"/>
            <w:color w:val="0000FF"/>
          </w:rPr>
          <w:t>Indenture, dated as of November 21, 2014, between SGMS Escrow Corp., as issuer, and Deutsche Bank Trust Company</w:t>
        </w:r>
      </w:hyperlink>
      <w:r>
        <w:rPr>
          <w:rFonts w:ascii="Arial" w:cs="Arial" w:eastAsia="Arial" w:hAnsi="Arial"/>
          <w:sz w:val="19"/>
          <w:szCs w:val="19"/>
          <w:u w:val="single" w:color="auto"/>
          <w:color w:val="0000FF"/>
        </w:rPr>
        <w:t xml:space="preserve"> </w:t>
      </w:r>
      <w:hyperlink r:id="rId199">
        <w:r>
          <w:rPr>
            <w:rFonts w:ascii="Arial" w:cs="Arial" w:eastAsia="Arial" w:hAnsi="Arial"/>
            <w:sz w:val="19"/>
            <w:szCs w:val="19"/>
            <w:u w:val="single" w:color="auto"/>
            <w:color w:val="0000FF"/>
          </w:rPr>
          <w:t>Americas, as trustee, relating to the 10.000% Senior Unsecured Notes due 2022 (incorporated by reference to Exhibit 4.1 to</w:t>
        </w:r>
      </w:hyperlink>
      <w:r>
        <w:rPr>
          <w:rFonts w:ascii="Arial" w:cs="Arial" w:eastAsia="Arial" w:hAnsi="Arial"/>
          <w:sz w:val="19"/>
          <w:szCs w:val="19"/>
          <w:u w:val="single" w:color="auto"/>
          <w:color w:val="0000FF"/>
        </w:rPr>
        <w:t xml:space="preserve"> </w:t>
      </w:r>
      <w:hyperlink r:id="rId199">
        <w:r>
          <w:rPr>
            <w:rFonts w:ascii="Arial" w:cs="Arial" w:eastAsia="Arial" w:hAnsi="Arial"/>
            <w:sz w:val="19"/>
            <w:szCs w:val="19"/>
            <w:u w:val="single" w:color="auto"/>
            <w:color w:val="0000FF"/>
          </w:rPr>
          <w:t>Scientific Games Corporation's Current Report on Form 8-K filed on November 26, 2014).</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-396240</wp:posOffset>
            </wp:positionV>
            <wp:extent cx="7132320" cy="3943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5" w:lineRule="exact"/>
        <w:rPr>
          <w:rFonts w:ascii="Arial" w:cs="Arial" w:eastAsia="Arial" w:hAnsi="Arial"/>
          <w:sz w:val="19"/>
          <w:szCs w:val="19"/>
          <w:u w:val="single" w:color="auto"/>
          <w:color w:val="0000FF"/>
        </w:rPr>
      </w:pPr>
    </w:p>
    <w:p>
      <w:pPr>
        <w:ind w:left="880" w:right="120" w:hanging="879"/>
        <w:spacing w:after="0" w:line="233" w:lineRule="auto"/>
        <w:tabs>
          <w:tab w:leader="none" w:pos="860" w:val="left"/>
        </w:tabs>
        <w:rPr>
          <w:rFonts w:ascii="Arial" w:cs="Arial" w:eastAsia="Arial" w:hAnsi="Arial"/>
          <w:sz w:val="18"/>
          <w:szCs w:val="18"/>
          <w:u w:val="single" w:color="auto"/>
          <w:color w:val="0000FF"/>
        </w:rPr>
      </w:pPr>
      <w:r>
        <w:rPr>
          <w:rFonts w:ascii="Arial" w:cs="Arial" w:eastAsia="Arial" w:hAnsi="Arial"/>
          <w:sz w:val="20"/>
          <w:szCs w:val="20"/>
          <w:color w:val="auto"/>
        </w:rPr>
        <w:t>4.10</w:t>
      </w:r>
      <w:r>
        <w:rPr>
          <w:sz w:val="20"/>
          <w:szCs w:val="20"/>
          <w:color w:val="auto"/>
        </w:rPr>
        <w:tab/>
      </w:r>
      <w:hyperlink r:id="rId201">
        <w:r>
          <w:rPr>
            <w:rFonts w:ascii="Arial" w:cs="Arial" w:eastAsia="Arial" w:hAnsi="Arial"/>
            <w:sz w:val="18"/>
            <w:szCs w:val="18"/>
            <w:u w:val="single" w:color="auto"/>
            <w:color w:val="0000FF"/>
          </w:rPr>
          <w:t>Supplemental Indenture, dated as of November 21, 2014, among Scientific Games International, Inc., as issuer, Scientific</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Games Corporation and the other guarantors party thereto and Deutsche Bank Trust Company Americas, as trustee, relating</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to the Indenture, dated as of November 21, 2014, between SGMS Escrow Corp., as issuer, and Deutsche Bank Trust</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Company Americas, as trustee, relating to the 10.000% Senior Unsecured Notes due 2022 (incorporated by reference to</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Exhibit 4.2 to Scientific Games Corporation's Current Report on Form 8-K filed on November 26, 2014).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-635000</wp:posOffset>
            </wp:positionV>
            <wp:extent cx="7132320" cy="6343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7" w:lineRule="exact"/>
        <w:rPr>
          <w:rFonts w:ascii="Arial" w:cs="Arial" w:eastAsia="Arial" w:hAnsi="Arial"/>
          <w:sz w:val="18"/>
          <w:szCs w:val="18"/>
          <w:u w:val="single" w:color="auto"/>
          <w:color w:val="0000FF"/>
        </w:rPr>
      </w:pPr>
    </w:p>
    <w:p>
      <w:pPr>
        <w:ind w:left="880" w:hanging="875"/>
        <w:spacing w:after="0" w:line="207"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4.11</w:t>
      </w:r>
      <w:r>
        <w:rPr>
          <w:sz w:val="20"/>
          <w:szCs w:val="20"/>
          <w:color w:val="auto"/>
        </w:rPr>
        <w:tab/>
      </w:r>
      <w:hyperlink r:id="rId203">
        <w:r>
          <w:rPr>
            <w:rFonts w:ascii="Arial" w:cs="Arial" w:eastAsia="Arial" w:hAnsi="Arial"/>
            <w:sz w:val="20"/>
            <w:szCs w:val="20"/>
            <w:u w:val="single" w:color="auto"/>
            <w:color w:val="0000FF"/>
          </w:rPr>
          <w:t>Supplemental Indenture, dated as of October 2, 2015, among Scientific Games International, Inc., as issuer, Scientific Games</w:t>
        </w:r>
      </w:hyperlink>
      <w:r>
        <w:rPr>
          <w:rFonts w:ascii="Arial" w:cs="Arial" w:eastAsia="Arial" w:hAnsi="Arial"/>
          <w:sz w:val="20"/>
          <w:szCs w:val="20"/>
          <w:u w:val="single" w:color="auto"/>
          <w:color w:val="0000FF"/>
        </w:rPr>
        <w:t xml:space="preserve"> </w:t>
      </w:r>
      <w:hyperlink r:id="rId203">
        <w:r>
          <w:rPr>
            <w:rFonts w:ascii="Arial" w:cs="Arial" w:eastAsia="Arial" w:hAnsi="Arial"/>
            <w:sz w:val="20"/>
            <w:szCs w:val="20"/>
            <w:u w:val="single" w:color="auto"/>
            <w:color w:val="0000FF"/>
          </w:rPr>
          <w:t>Corporation, Go For A Million Productions, LLC and the other guarantors party thereto, and Deutsche Bank Trust Company</w:t>
        </w:r>
      </w:hyperlink>
      <w:r>
        <w:rPr>
          <w:rFonts w:ascii="Arial" w:cs="Arial" w:eastAsia="Arial" w:hAnsi="Arial"/>
          <w:sz w:val="20"/>
          <w:szCs w:val="20"/>
          <w:u w:val="single" w:color="auto"/>
          <w:color w:val="0000FF"/>
        </w:rPr>
        <w:t xml:space="preserve"> </w:t>
      </w:r>
      <w:hyperlink r:id="rId203">
        <w:r>
          <w:rPr>
            <w:rFonts w:ascii="Arial" w:cs="Arial" w:eastAsia="Arial" w:hAnsi="Arial"/>
            <w:sz w:val="20"/>
            <w:szCs w:val="20"/>
            <w:u w:val="single" w:color="auto"/>
            <w:color w:val="0000FF"/>
          </w:rPr>
          <w:t>Americas, as trustee, relating to the Indenture, dated as of November 21, 2014, between SGMS Escrow Corp., as issuer, and</w:t>
        </w:r>
      </w:hyperlink>
      <w:r>
        <w:rPr>
          <w:rFonts w:ascii="Arial" w:cs="Arial" w:eastAsia="Arial" w:hAnsi="Arial"/>
          <w:sz w:val="20"/>
          <w:szCs w:val="20"/>
          <w:u w:val="single" w:color="auto"/>
          <w:color w:val="0000FF"/>
        </w:rPr>
        <w:t xml:space="preserve"> </w:t>
      </w:r>
      <w:hyperlink r:id="rId203">
        <w:r>
          <w:rPr>
            <w:rFonts w:ascii="Arial" w:cs="Arial" w:eastAsia="Arial" w:hAnsi="Arial"/>
            <w:sz w:val="20"/>
            <w:szCs w:val="20"/>
            <w:u w:val="single" w:color="auto"/>
            <w:color w:val="0000FF"/>
          </w:rPr>
          <w:t>Deutsche Bank Trust Company Americas, as trustee, relating to the 10.000% Senior Unsecured Notes due 2022</w:t>
        </w:r>
      </w:hyperlink>
      <w:r>
        <w:rPr>
          <w:rFonts w:ascii="Arial" w:cs="Arial" w:eastAsia="Arial" w:hAnsi="Arial"/>
          <w:sz w:val="20"/>
          <w:szCs w:val="20"/>
          <w:u w:val="single" w:color="auto"/>
          <w:color w:val="0000FF"/>
        </w:rPr>
        <w:t xml:space="preserve"> </w:t>
      </w:r>
      <w:hyperlink r:id="rId203">
        <w:r>
          <w:rPr>
            <w:rFonts w:ascii="Arial" w:cs="Arial" w:eastAsia="Arial" w:hAnsi="Arial"/>
            <w:sz w:val="20"/>
            <w:szCs w:val="20"/>
            <w:u w:val="single" w:color="auto"/>
            <w:color w:val="0000FF"/>
          </w:rPr>
          <w:t>(incorporated by reference to Exhibit 4.4 to Scientific Games Corporation’s Quarterly Report on Form 10-Q for the quarter</w:t>
        </w:r>
      </w:hyperlink>
      <w:r>
        <w:rPr>
          <w:rFonts w:ascii="Arial" w:cs="Arial" w:eastAsia="Arial" w:hAnsi="Arial"/>
          <w:sz w:val="20"/>
          <w:szCs w:val="20"/>
          <w:u w:val="single" w:color="auto"/>
          <w:color w:val="0000FF"/>
        </w:rPr>
        <w:t xml:space="preserve"> </w:t>
      </w:r>
      <w:hyperlink r:id="rId203">
        <w:r>
          <w:rPr>
            <w:rFonts w:ascii="Arial" w:cs="Arial" w:eastAsia="Arial" w:hAnsi="Arial"/>
            <w:sz w:val="20"/>
            <w:szCs w:val="20"/>
            <w:u w:val="single" w:color="auto"/>
            <w:color w:val="0000FF"/>
          </w:rPr>
          <w:t>ended September 30, 2015).</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-753110</wp:posOffset>
            </wp:positionV>
            <wp:extent cx="7132320" cy="7543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180" w:lineRule="exact"/>
        <w:rPr>
          <w:rFonts w:ascii="Arial" w:cs="Arial" w:eastAsia="Arial" w:hAnsi="Arial"/>
          <w:sz w:val="20"/>
          <w:szCs w:val="20"/>
          <w:u w:val="single" w:color="auto"/>
          <w:color w:val="0000FF"/>
        </w:rPr>
      </w:pPr>
    </w:p>
    <w:p>
      <w:pPr>
        <w:ind w:left="880" w:right="80" w:hanging="879"/>
        <w:spacing w:after="0" w:line="207"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4.12</w:t>
      </w:r>
      <w:r>
        <w:rPr>
          <w:sz w:val="20"/>
          <w:szCs w:val="20"/>
          <w:color w:val="auto"/>
        </w:rPr>
        <w:tab/>
      </w:r>
      <w:hyperlink r:id="rId205">
        <w:r>
          <w:rPr>
            <w:rFonts w:ascii="Arial" w:cs="Arial" w:eastAsia="Arial" w:hAnsi="Arial"/>
            <w:sz w:val="20"/>
            <w:szCs w:val="20"/>
            <w:u w:val="single" w:color="auto"/>
            <w:color w:val="0000FF"/>
          </w:rPr>
          <w:t>Supplemental Indenture, dated as of July 14, 2017, by and among Scientific Games International, Inc., as issuer, Scientific</w:t>
        </w:r>
      </w:hyperlink>
      <w:r>
        <w:rPr>
          <w:rFonts w:ascii="Arial" w:cs="Arial" w:eastAsia="Arial" w:hAnsi="Arial"/>
          <w:sz w:val="20"/>
          <w:szCs w:val="20"/>
          <w:u w:val="single" w:color="auto"/>
          <w:color w:val="0000FF"/>
        </w:rPr>
        <w:t xml:space="preserve"> </w:t>
      </w:r>
      <w:hyperlink r:id="rId205">
        <w:r>
          <w:rPr>
            <w:rFonts w:ascii="Arial" w:cs="Arial" w:eastAsia="Arial" w:hAnsi="Arial"/>
            <w:sz w:val="20"/>
            <w:szCs w:val="20"/>
            <w:u w:val="single" w:color="auto"/>
            <w:color w:val="0000FF"/>
          </w:rPr>
          <w:t>Games Corporation, Lapis Software Associates, LLC and the other guarantors party thereto, and Deutsche Bank Trust</w:t>
        </w:r>
      </w:hyperlink>
      <w:r>
        <w:rPr>
          <w:rFonts w:ascii="Arial" w:cs="Arial" w:eastAsia="Arial" w:hAnsi="Arial"/>
          <w:sz w:val="20"/>
          <w:szCs w:val="20"/>
          <w:u w:val="single" w:color="auto"/>
          <w:color w:val="0000FF"/>
        </w:rPr>
        <w:t xml:space="preserve"> </w:t>
      </w:r>
      <w:hyperlink r:id="rId205">
        <w:r>
          <w:rPr>
            <w:rFonts w:ascii="Arial" w:cs="Arial" w:eastAsia="Arial" w:hAnsi="Arial"/>
            <w:sz w:val="20"/>
            <w:szCs w:val="20"/>
            <w:u w:val="single" w:color="auto"/>
            <w:color w:val="0000FF"/>
          </w:rPr>
          <w:t>Company Americas, as trustee, relating to the Indenture, dated as of November 21, 2014, between SGMS Escrow Corp., as</w:t>
        </w:r>
      </w:hyperlink>
      <w:r>
        <w:rPr>
          <w:rFonts w:ascii="Arial" w:cs="Arial" w:eastAsia="Arial" w:hAnsi="Arial"/>
          <w:sz w:val="20"/>
          <w:szCs w:val="20"/>
          <w:u w:val="single" w:color="auto"/>
          <w:color w:val="0000FF"/>
        </w:rPr>
        <w:t xml:space="preserve"> </w:t>
      </w:r>
      <w:hyperlink r:id="rId205">
        <w:r>
          <w:rPr>
            <w:rFonts w:ascii="Arial" w:cs="Arial" w:eastAsia="Arial" w:hAnsi="Arial"/>
            <w:sz w:val="20"/>
            <w:szCs w:val="20"/>
            <w:u w:val="single" w:color="auto"/>
            <w:color w:val="0000FF"/>
          </w:rPr>
          <w:t>issuer, and Deutsche Bank Trust Company Americas, as trustee, relating to the 10.000% Senior Unsecured Notes due 2022</w:t>
        </w:r>
      </w:hyperlink>
      <w:r>
        <w:rPr>
          <w:rFonts w:ascii="Arial" w:cs="Arial" w:eastAsia="Arial" w:hAnsi="Arial"/>
          <w:sz w:val="20"/>
          <w:szCs w:val="20"/>
          <w:u w:val="single" w:color="auto"/>
          <w:color w:val="0000FF"/>
        </w:rPr>
        <w:t xml:space="preserve"> </w:t>
      </w:r>
      <w:hyperlink r:id="rId205">
        <w:r>
          <w:rPr>
            <w:rFonts w:ascii="Arial" w:cs="Arial" w:eastAsia="Arial" w:hAnsi="Arial"/>
            <w:sz w:val="20"/>
            <w:szCs w:val="20"/>
            <w:u w:val="single" w:color="auto"/>
            <w:color w:val="0000FF"/>
          </w:rPr>
          <w:t>(incorporated by reference to Exhibit 10.3 to Scientific Games Corporation’s Quarterly Report on Form 10-Q for the quarter</w:t>
        </w:r>
      </w:hyperlink>
      <w:r>
        <w:rPr>
          <w:rFonts w:ascii="Arial" w:cs="Arial" w:eastAsia="Arial" w:hAnsi="Arial"/>
          <w:sz w:val="20"/>
          <w:szCs w:val="20"/>
          <w:u w:val="single" w:color="auto"/>
          <w:color w:val="0000FF"/>
        </w:rPr>
        <w:t xml:space="preserve"> </w:t>
      </w:r>
      <w:hyperlink r:id="rId205">
        <w:r>
          <w:rPr>
            <w:rFonts w:ascii="Arial" w:cs="Arial" w:eastAsia="Arial" w:hAnsi="Arial"/>
            <w:sz w:val="20"/>
            <w:szCs w:val="20"/>
            <w:u w:val="single" w:color="auto"/>
            <w:color w:val="0000FF"/>
          </w:rPr>
          <w:t>ended June 30, 2017).</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-753110</wp:posOffset>
            </wp:positionV>
            <wp:extent cx="7132320" cy="7543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180" w:lineRule="exact"/>
        <w:rPr>
          <w:rFonts w:ascii="Arial" w:cs="Arial" w:eastAsia="Arial" w:hAnsi="Arial"/>
          <w:sz w:val="20"/>
          <w:szCs w:val="20"/>
          <w:u w:val="single" w:color="auto"/>
          <w:color w:val="0000FF"/>
        </w:rPr>
      </w:pPr>
    </w:p>
    <w:p>
      <w:pPr>
        <w:ind w:left="880" w:right="14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4.13</w:t>
      </w:r>
      <w:r>
        <w:rPr>
          <w:sz w:val="20"/>
          <w:szCs w:val="20"/>
          <w:color w:val="auto"/>
        </w:rPr>
        <w:tab/>
      </w:r>
      <w:hyperlink r:id="rId207">
        <w:r>
          <w:rPr>
            <w:rFonts w:ascii="Arial" w:cs="Arial" w:eastAsia="Arial" w:hAnsi="Arial"/>
            <w:sz w:val="20"/>
            <w:szCs w:val="20"/>
            <w:u w:val="single" w:color="auto"/>
            <w:color w:val="0000FF"/>
          </w:rPr>
          <w:t>Supplemental Indenture, dated as of January 10, 2018, by and among Scientific Games International, Inc., the subsidiary</w:t>
        </w:r>
      </w:hyperlink>
      <w:r>
        <w:rPr>
          <w:rFonts w:ascii="Arial" w:cs="Arial" w:eastAsia="Arial" w:hAnsi="Arial"/>
          <w:sz w:val="20"/>
          <w:szCs w:val="20"/>
          <w:u w:val="single" w:color="auto"/>
          <w:color w:val="0000FF"/>
        </w:rPr>
        <w:t xml:space="preserve"> </w:t>
      </w:r>
      <w:hyperlink r:id="rId207">
        <w:r>
          <w:rPr>
            <w:rFonts w:ascii="Arial" w:cs="Arial" w:eastAsia="Arial" w:hAnsi="Arial"/>
            <w:sz w:val="20"/>
            <w:szCs w:val="20"/>
            <w:u w:val="single" w:color="auto"/>
            <w:color w:val="0000FF"/>
          </w:rPr>
          <w:t>guarantors party thereto, Scientific Games Corporation and Deutsche Bank Trust Company Americas, as trustee, relating to</w:t>
        </w:r>
      </w:hyperlink>
      <w:r>
        <w:rPr>
          <w:rFonts w:ascii="Arial" w:cs="Arial" w:eastAsia="Arial" w:hAnsi="Arial"/>
          <w:sz w:val="20"/>
          <w:szCs w:val="20"/>
          <w:u w:val="single" w:color="auto"/>
          <w:color w:val="0000FF"/>
        </w:rPr>
        <w:t xml:space="preserve"> </w:t>
      </w:r>
      <w:hyperlink r:id="rId207">
        <w:r>
          <w:rPr>
            <w:rFonts w:ascii="Arial" w:cs="Arial" w:eastAsia="Arial" w:hAnsi="Arial"/>
            <w:sz w:val="20"/>
            <w:szCs w:val="20"/>
            <w:u w:val="single" w:color="auto"/>
            <w:color w:val="0000FF"/>
          </w:rPr>
          <w:t>the Indenture, dated as of November 21, 2014, as amended and supplemented, relating to the 10.000% Senior Unsecured</w:t>
        </w:r>
      </w:hyperlink>
      <w:r>
        <w:rPr>
          <w:rFonts w:ascii="Arial" w:cs="Arial" w:eastAsia="Arial" w:hAnsi="Arial"/>
          <w:sz w:val="20"/>
          <w:szCs w:val="20"/>
          <w:u w:val="single" w:color="auto"/>
          <w:color w:val="0000FF"/>
        </w:rPr>
        <w:t xml:space="preserve"> </w:t>
      </w:r>
      <w:hyperlink r:id="rId207">
        <w:r>
          <w:rPr>
            <w:rFonts w:ascii="Arial" w:cs="Arial" w:eastAsia="Arial" w:hAnsi="Arial"/>
            <w:sz w:val="20"/>
            <w:szCs w:val="20"/>
            <w:u w:val="single" w:color="auto"/>
            <w:color w:val="0000FF"/>
          </w:rPr>
          <w:t>Notes due 2022 (incorporated by reference to Exhibit 4.7 to Scientific Games Corporation's Current Report on Form 8-K</w:t>
        </w:r>
      </w:hyperlink>
      <w:r>
        <w:rPr>
          <w:rFonts w:ascii="Arial" w:cs="Arial" w:eastAsia="Arial" w:hAnsi="Arial"/>
          <w:sz w:val="20"/>
          <w:szCs w:val="20"/>
          <w:u w:val="single" w:color="auto"/>
          <w:color w:val="0000FF"/>
        </w:rPr>
        <w:t xml:space="preserve"> </w:t>
      </w:r>
      <w:hyperlink r:id="rId207">
        <w:r>
          <w:rPr>
            <w:rFonts w:ascii="Arial" w:cs="Arial" w:eastAsia="Arial" w:hAnsi="Arial"/>
            <w:sz w:val="20"/>
            <w:szCs w:val="20"/>
            <w:u w:val="single" w:color="auto"/>
            <w:color w:val="0000FF"/>
          </w:rPr>
          <w:t>filed on January 10, 2018).</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20" w:hanging="879"/>
        <w:spacing w:after="0" w:line="221" w:lineRule="auto"/>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4.14</w:t>
      </w:r>
      <w:r>
        <w:rPr>
          <w:sz w:val="20"/>
          <w:szCs w:val="20"/>
          <w:color w:val="auto"/>
        </w:rPr>
        <w:tab/>
      </w:r>
      <w:hyperlink r:id="rId209">
        <w:r>
          <w:rPr>
            <w:rFonts w:ascii="Arial" w:cs="Arial" w:eastAsia="Arial" w:hAnsi="Arial"/>
            <w:sz w:val="19"/>
            <w:szCs w:val="19"/>
            <w:u w:val="single" w:color="auto"/>
            <w:color w:val="0000FF"/>
          </w:rPr>
          <w:t>Supplemental Indenture, dated as of November 1, 2018, among Scientific Games International, Inc., as issuer, Scientific</w:t>
        </w:r>
      </w:hyperlink>
      <w:r>
        <w:rPr>
          <w:rFonts w:ascii="Arial" w:cs="Arial" w:eastAsia="Arial" w:hAnsi="Arial"/>
          <w:sz w:val="19"/>
          <w:szCs w:val="19"/>
          <w:u w:val="single" w:color="auto"/>
          <w:color w:val="0000FF"/>
        </w:rPr>
        <w:t xml:space="preserve"> </w:t>
      </w:r>
      <w:hyperlink r:id="rId209">
        <w:r>
          <w:rPr>
            <w:rFonts w:ascii="Arial" w:cs="Arial" w:eastAsia="Arial" w:hAnsi="Arial"/>
            <w:sz w:val="19"/>
            <w:szCs w:val="19"/>
            <w:u w:val="single" w:color="auto"/>
            <w:color w:val="0000FF"/>
          </w:rPr>
          <w:t>Games Corporation, Don Best Sports Corporation and the other guarantors party thereto, and Deutsche Bank Trust Company</w:t>
        </w:r>
      </w:hyperlink>
      <w:r>
        <w:rPr>
          <w:rFonts w:ascii="Arial" w:cs="Arial" w:eastAsia="Arial" w:hAnsi="Arial"/>
          <w:sz w:val="19"/>
          <w:szCs w:val="19"/>
          <w:u w:val="single" w:color="auto"/>
          <w:color w:val="0000FF"/>
        </w:rPr>
        <w:t xml:space="preserve"> </w:t>
      </w:r>
      <w:hyperlink r:id="rId209">
        <w:r>
          <w:rPr>
            <w:rFonts w:ascii="Arial" w:cs="Arial" w:eastAsia="Arial" w:hAnsi="Arial"/>
            <w:sz w:val="19"/>
            <w:szCs w:val="19"/>
            <w:u w:val="single" w:color="auto"/>
            <w:color w:val="0000FF"/>
          </w:rPr>
          <w:t>Americas, as trustee, relating to the Indenture, dated as of November 21, 2014, as amended and supplemented, relating to the</w:t>
        </w:r>
      </w:hyperlink>
      <w:r>
        <w:rPr>
          <w:rFonts w:ascii="Arial" w:cs="Arial" w:eastAsia="Arial" w:hAnsi="Arial"/>
          <w:sz w:val="19"/>
          <w:szCs w:val="19"/>
          <w:u w:val="single" w:color="auto"/>
          <w:color w:val="0000FF"/>
        </w:rPr>
        <w:t xml:space="preserve"> </w:t>
      </w:r>
      <w:hyperlink r:id="rId209">
        <w:r>
          <w:rPr>
            <w:rFonts w:ascii="Arial" w:cs="Arial" w:eastAsia="Arial" w:hAnsi="Arial"/>
            <w:sz w:val="19"/>
            <w:szCs w:val="19"/>
            <w:u w:val="single" w:color="auto"/>
            <w:color w:val="0000FF"/>
          </w:rPr>
          <w:t>10.000% Senior Unsecured Notes due 2022 (incorporated by reference to Exhibit 4.31 to Scientific Games Corporation’s</w:t>
        </w:r>
      </w:hyperlink>
      <w:r>
        <w:rPr>
          <w:rFonts w:ascii="Arial" w:cs="Arial" w:eastAsia="Arial" w:hAnsi="Arial"/>
          <w:sz w:val="19"/>
          <w:szCs w:val="19"/>
          <w:u w:val="single" w:color="auto"/>
          <w:color w:val="0000FF"/>
        </w:rPr>
        <w:t xml:space="preserve"> </w:t>
      </w:r>
      <w:hyperlink r:id="rId209">
        <w:r>
          <w:rPr>
            <w:rFonts w:ascii="Arial" w:cs="Arial" w:eastAsia="Arial" w:hAnsi="Arial"/>
            <w:sz w:val="19"/>
            <w:szCs w:val="19"/>
            <w:u w:val="single" w:color="auto"/>
            <w:color w:val="0000FF"/>
          </w:rPr>
          <w:t>Annual Report on Form 10-K for the year ended December 31, 2018).</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6" w:lineRule="exact"/>
        <w:rPr>
          <w:rFonts w:ascii="Arial" w:cs="Arial" w:eastAsia="Arial" w:hAnsi="Arial"/>
          <w:sz w:val="19"/>
          <w:szCs w:val="19"/>
          <w:u w:val="single" w:color="auto"/>
          <w:color w:val="0000FF"/>
        </w:rPr>
      </w:pPr>
    </w:p>
    <w:p>
      <w:pPr>
        <w:ind w:left="880" w:right="20" w:hanging="879"/>
        <w:spacing w:after="0" w:line="244" w:lineRule="auto"/>
        <w:tabs>
          <w:tab w:leader="none" w:pos="860" w:val="left"/>
        </w:tabs>
        <w:rPr>
          <w:rFonts w:ascii="Arial" w:cs="Arial" w:eastAsia="Arial" w:hAnsi="Arial"/>
          <w:sz w:val="18"/>
          <w:szCs w:val="18"/>
          <w:u w:val="single" w:color="auto"/>
          <w:color w:val="0000FF"/>
        </w:rPr>
      </w:pPr>
      <w:r>
        <w:rPr>
          <w:rFonts w:ascii="Arial" w:cs="Arial" w:eastAsia="Arial" w:hAnsi="Arial"/>
          <w:sz w:val="20"/>
          <w:szCs w:val="20"/>
          <w:color w:val="auto"/>
        </w:rPr>
        <w:t>4.15</w:t>
      </w:r>
      <w:r>
        <w:rPr>
          <w:sz w:val="20"/>
          <w:szCs w:val="20"/>
          <w:color w:val="auto"/>
        </w:rPr>
        <w:tab/>
      </w:r>
      <w:hyperlink r:id="rId211">
        <w:r>
          <w:rPr>
            <w:rFonts w:ascii="Arial" w:cs="Arial" w:eastAsia="Arial" w:hAnsi="Arial"/>
            <w:sz w:val="18"/>
            <w:szCs w:val="18"/>
            <w:u w:val="single" w:color="auto"/>
            <w:color w:val="0000FF"/>
          </w:rPr>
          <w:t>Indenture, dated as of November 21, 2014, between SGMS Escrow Corp., as issuer, and Deutsche Bank Trust Company</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Americas, as trustee and collateral agent, related to the 7.000% Senior Secured Notes due 2022 (incorporated by reference to</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Exhibit 4.3 to Scientific Games Corporation’s Current Report on Form 8-K filed on November 26, 2014).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-398145</wp:posOffset>
            </wp:positionV>
            <wp:extent cx="7132320" cy="3943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2" w:lineRule="exact"/>
        <w:rPr>
          <w:rFonts w:ascii="Arial" w:cs="Arial" w:eastAsia="Arial" w:hAnsi="Arial"/>
          <w:sz w:val="18"/>
          <w:szCs w:val="18"/>
          <w:u w:val="single" w:color="auto"/>
          <w:color w:val="0000FF"/>
        </w:rPr>
      </w:pPr>
    </w:p>
    <w:p>
      <w:pPr>
        <w:ind w:left="880" w:right="160" w:hanging="879"/>
        <w:spacing w:after="0" w:line="233" w:lineRule="auto"/>
        <w:tabs>
          <w:tab w:leader="none" w:pos="860" w:val="left"/>
        </w:tabs>
        <w:rPr>
          <w:rFonts w:ascii="Arial" w:cs="Arial" w:eastAsia="Arial" w:hAnsi="Arial"/>
          <w:sz w:val="18"/>
          <w:szCs w:val="18"/>
          <w:u w:val="single" w:color="auto"/>
          <w:color w:val="0000FF"/>
        </w:rPr>
      </w:pPr>
      <w:r>
        <w:rPr>
          <w:rFonts w:ascii="Arial" w:cs="Arial" w:eastAsia="Arial" w:hAnsi="Arial"/>
          <w:sz w:val="20"/>
          <w:szCs w:val="20"/>
          <w:color w:val="auto"/>
        </w:rPr>
        <w:t>4.16</w:t>
      </w:r>
      <w:r>
        <w:rPr>
          <w:sz w:val="20"/>
          <w:szCs w:val="20"/>
          <w:color w:val="auto"/>
        </w:rPr>
        <w:tab/>
      </w:r>
      <w:hyperlink r:id="rId213">
        <w:r>
          <w:rPr>
            <w:rFonts w:ascii="Arial" w:cs="Arial" w:eastAsia="Arial" w:hAnsi="Arial"/>
            <w:sz w:val="18"/>
            <w:szCs w:val="18"/>
            <w:u w:val="single" w:color="auto"/>
            <w:color w:val="0000FF"/>
          </w:rPr>
          <w:t>Supplemental Indenture, dated as of November 21, 2014, among Scientific Games International, Inc., Scientific Games</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Corporation, and the other guarantors party thereto and Deutsche Bank Trust Company Americas, as trustee, relating to the</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Indenture dated as of November 21, 2014, between SGMS Escrow Corp., as issuer, and Deutsche Bank Trust Company</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Americas, as trustee and collateral agent, relating to the 7.000% Senior Secured Notes due 2022 (incorporated by reference</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to Exhibit 4.4 to Scientific Games Corporation’s Current Report on Form 8-K filed on November 26, 2014).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-635000</wp:posOffset>
            </wp:positionV>
            <wp:extent cx="7132320" cy="6343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65" w:lineRule="exact"/>
        <w:rPr>
          <w:rFonts w:ascii="Arial" w:cs="Arial" w:eastAsia="Arial" w:hAnsi="Arial"/>
          <w:sz w:val="18"/>
          <w:szCs w:val="18"/>
          <w:u w:val="single" w:color="auto"/>
          <w:color w:val="0000FF"/>
        </w:rPr>
      </w:pPr>
    </w:p>
    <w:p>
      <w:pPr>
        <w:jc w:val="center"/>
        <w:ind w:right="400"/>
        <w:spacing w:after="0"/>
        <w:rPr>
          <w:sz w:val="20"/>
          <w:szCs w:val="20"/>
          <w:color w:val="auto"/>
        </w:rPr>
      </w:pPr>
      <w:r>
        <w:rPr>
          <w:rFonts w:ascii="Arial" w:cs="Arial" w:eastAsia="Arial" w:hAnsi="Arial"/>
          <w:sz w:val="18"/>
          <w:szCs w:val="18"/>
          <w:color w:val="auto"/>
        </w:rPr>
        <w:t>134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40" w:top="933" w:right="359" w:bottom="1440" w:gutter="0" w:footer="0" w:header="0"/>
        </w:sectPr>
      </w:pPr>
    </w:p>
    <w:bookmarkStart w:id="134" w:name="page135"/>
    <w:bookmarkEnd w:id="134"/>
    <w:p>
      <w:pPr>
        <w:ind w:left="880" w:right="40" w:hanging="879"/>
        <w:spacing w:after="0" w:line="207"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4.17</w:t>
      </w:r>
      <w:r>
        <w:rPr>
          <w:sz w:val="20"/>
          <w:szCs w:val="20"/>
          <w:color w:val="auto"/>
        </w:rPr>
        <w:tab/>
      </w:r>
      <w:hyperlink r:id="rId216">
        <w:r>
          <w:rPr>
            <w:rFonts w:ascii="Arial" w:cs="Arial" w:eastAsia="Arial" w:hAnsi="Arial"/>
            <w:sz w:val="20"/>
            <w:szCs w:val="20"/>
            <w:u w:val="single" w:color="auto"/>
            <w:color w:val="0000FF"/>
          </w:rPr>
          <w:t>Supplemental Indenture, dated as of October 2, 2015, among Scientific Games International, Inc., Scientific Games</w:t>
        </w:r>
      </w:hyperlink>
      <w:r>
        <w:rPr>
          <w:rFonts w:ascii="Arial" w:cs="Arial" w:eastAsia="Arial" w:hAnsi="Arial"/>
          <w:sz w:val="20"/>
          <w:szCs w:val="20"/>
          <w:u w:val="single" w:color="auto"/>
          <w:color w:val="0000FF"/>
        </w:rPr>
        <w:t xml:space="preserve"> </w:t>
      </w:r>
      <w:hyperlink r:id="rId216">
        <w:r>
          <w:rPr>
            <w:rFonts w:ascii="Arial" w:cs="Arial" w:eastAsia="Arial" w:hAnsi="Arial"/>
            <w:sz w:val="20"/>
            <w:szCs w:val="20"/>
            <w:u w:val="single" w:color="auto"/>
            <w:color w:val="0000FF"/>
          </w:rPr>
          <w:t>Corporation, Go For A Million Productions, LLC and the other guarantors party thereto, and Deutsche Bank Trust Company</w:t>
        </w:r>
      </w:hyperlink>
      <w:r>
        <w:rPr>
          <w:rFonts w:ascii="Arial" w:cs="Arial" w:eastAsia="Arial" w:hAnsi="Arial"/>
          <w:sz w:val="20"/>
          <w:szCs w:val="20"/>
          <w:u w:val="single" w:color="auto"/>
          <w:color w:val="0000FF"/>
        </w:rPr>
        <w:t xml:space="preserve"> </w:t>
      </w:r>
      <w:hyperlink r:id="rId216">
        <w:r>
          <w:rPr>
            <w:rFonts w:ascii="Arial" w:cs="Arial" w:eastAsia="Arial" w:hAnsi="Arial"/>
            <w:sz w:val="20"/>
            <w:szCs w:val="20"/>
            <w:u w:val="single" w:color="auto"/>
            <w:color w:val="0000FF"/>
          </w:rPr>
          <w:t>Americas, as trustee, relating to the Indenture, dated as of November 21, 2014, between SGMS Escrow Corp., as issuer, and</w:t>
        </w:r>
      </w:hyperlink>
      <w:r>
        <w:rPr>
          <w:rFonts w:ascii="Arial" w:cs="Arial" w:eastAsia="Arial" w:hAnsi="Arial"/>
          <w:sz w:val="20"/>
          <w:szCs w:val="20"/>
          <w:u w:val="single" w:color="auto"/>
          <w:color w:val="0000FF"/>
        </w:rPr>
        <w:t xml:space="preserve"> </w:t>
      </w:r>
      <w:hyperlink r:id="rId216">
        <w:r>
          <w:rPr>
            <w:rFonts w:ascii="Arial" w:cs="Arial" w:eastAsia="Arial" w:hAnsi="Arial"/>
            <w:sz w:val="20"/>
            <w:szCs w:val="20"/>
            <w:u w:val="single" w:color="auto"/>
            <w:color w:val="0000FF"/>
          </w:rPr>
          <w:t>Deutsche Bank Trust Company Americas, as trustee and collateral agent, relating to the 7.000% Senior Secured Notes due</w:t>
        </w:r>
      </w:hyperlink>
      <w:r>
        <w:rPr>
          <w:rFonts w:ascii="Arial" w:cs="Arial" w:eastAsia="Arial" w:hAnsi="Arial"/>
          <w:sz w:val="20"/>
          <w:szCs w:val="20"/>
          <w:u w:val="single" w:color="auto"/>
          <w:color w:val="0000FF"/>
        </w:rPr>
        <w:t xml:space="preserve"> </w:t>
      </w:r>
      <w:hyperlink r:id="rId216">
        <w:r>
          <w:rPr>
            <w:rFonts w:ascii="Arial" w:cs="Arial" w:eastAsia="Arial" w:hAnsi="Arial"/>
            <w:sz w:val="20"/>
            <w:szCs w:val="20"/>
            <w:u w:val="single" w:color="auto"/>
            <w:color w:val="0000FF"/>
          </w:rPr>
          <w:t>2022 (incorporated by reference to Exhibit 4.5 to Scientific Games Corporation’s Quarterly Report on Form 10-Q for the</w:t>
        </w:r>
      </w:hyperlink>
      <w:r>
        <w:rPr>
          <w:rFonts w:ascii="Arial" w:cs="Arial" w:eastAsia="Arial" w:hAnsi="Arial"/>
          <w:sz w:val="20"/>
          <w:szCs w:val="20"/>
          <w:u w:val="single" w:color="auto"/>
          <w:color w:val="0000FF"/>
        </w:rPr>
        <w:t xml:space="preserve"> </w:t>
      </w:r>
      <w:hyperlink r:id="rId216">
        <w:r>
          <w:rPr>
            <w:rFonts w:ascii="Arial" w:cs="Arial" w:eastAsia="Arial" w:hAnsi="Arial"/>
            <w:sz w:val="20"/>
            <w:szCs w:val="20"/>
            <w:u w:val="single" w:color="auto"/>
            <w:color w:val="0000FF"/>
          </w:rPr>
          <w:t>quarter ended September 30, 2015).</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-753110</wp:posOffset>
            </wp:positionV>
            <wp:extent cx="7132320" cy="7543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180" w:lineRule="exact"/>
        <w:rPr>
          <w:rFonts w:ascii="Arial" w:cs="Arial" w:eastAsia="Arial" w:hAnsi="Arial"/>
          <w:sz w:val="20"/>
          <w:szCs w:val="20"/>
          <w:u w:val="single" w:color="auto"/>
          <w:color w:val="0000FF"/>
        </w:rPr>
      </w:pPr>
    </w:p>
    <w:p>
      <w:pPr>
        <w:ind w:left="880" w:hanging="879"/>
        <w:spacing w:after="0" w:line="207"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4.18</w:t>
      </w:r>
      <w:r>
        <w:rPr>
          <w:sz w:val="20"/>
          <w:szCs w:val="20"/>
          <w:color w:val="auto"/>
        </w:rPr>
        <w:tab/>
      </w:r>
      <w:hyperlink r:id="rId218">
        <w:r>
          <w:rPr>
            <w:rFonts w:ascii="Arial" w:cs="Arial" w:eastAsia="Arial" w:hAnsi="Arial"/>
            <w:sz w:val="20"/>
            <w:szCs w:val="20"/>
            <w:u w:val="single" w:color="auto"/>
            <w:color w:val="0000FF"/>
          </w:rPr>
          <w:t>Supplemental Indenture, dated as of February 14, 2017, among Scientific Games International, as issuer, Scientific Games</w:t>
        </w:r>
      </w:hyperlink>
      <w:r>
        <w:rPr>
          <w:rFonts w:ascii="Arial" w:cs="Arial" w:eastAsia="Arial" w:hAnsi="Arial"/>
          <w:sz w:val="20"/>
          <w:szCs w:val="20"/>
          <w:u w:val="single" w:color="auto"/>
          <w:color w:val="0000FF"/>
        </w:rPr>
        <w:t xml:space="preserve"> </w:t>
      </w:r>
      <w:hyperlink r:id="rId218">
        <w:r>
          <w:rPr>
            <w:rFonts w:ascii="Arial" w:cs="Arial" w:eastAsia="Arial" w:hAnsi="Arial"/>
            <w:sz w:val="20"/>
            <w:szCs w:val="20"/>
            <w:u w:val="single" w:color="auto"/>
            <w:color w:val="0000FF"/>
          </w:rPr>
          <w:t>Corporation and the other guarantors party thereto and Deutsche Bank Trust Company Americas, as trustee and collateral</w:t>
        </w:r>
      </w:hyperlink>
      <w:r>
        <w:rPr>
          <w:rFonts w:ascii="Arial" w:cs="Arial" w:eastAsia="Arial" w:hAnsi="Arial"/>
          <w:sz w:val="20"/>
          <w:szCs w:val="20"/>
          <w:u w:val="single" w:color="auto"/>
          <w:color w:val="0000FF"/>
        </w:rPr>
        <w:t xml:space="preserve"> </w:t>
      </w:r>
      <w:hyperlink r:id="rId218">
        <w:r>
          <w:rPr>
            <w:rFonts w:ascii="Arial" w:cs="Arial" w:eastAsia="Arial" w:hAnsi="Arial"/>
            <w:sz w:val="20"/>
            <w:szCs w:val="20"/>
            <w:u w:val="single" w:color="auto"/>
            <w:color w:val="0000FF"/>
          </w:rPr>
          <w:t>agent, relating to the Indenture, dated as of November 21, 2014, between SGMS Escrow Corp., as issuer, and Deutsche Bank</w:t>
        </w:r>
      </w:hyperlink>
      <w:r>
        <w:rPr>
          <w:rFonts w:ascii="Arial" w:cs="Arial" w:eastAsia="Arial" w:hAnsi="Arial"/>
          <w:sz w:val="20"/>
          <w:szCs w:val="20"/>
          <w:u w:val="single" w:color="auto"/>
          <w:color w:val="0000FF"/>
        </w:rPr>
        <w:t xml:space="preserve"> </w:t>
      </w:r>
      <w:hyperlink r:id="rId218">
        <w:r>
          <w:rPr>
            <w:rFonts w:ascii="Arial" w:cs="Arial" w:eastAsia="Arial" w:hAnsi="Arial"/>
            <w:sz w:val="20"/>
            <w:szCs w:val="20"/>
            <w:u w:val="single" w:color="auto"/>
            <w:color w:val="0000FF"/>
          </w:rPr>
          <w:t>Trust Company Americas, as trustee and collateral agent, relating to the 7.000% Senior Secured Notes due 2022</w:t>
        </w:r>
      </w:hyperlink>
      <w:r>
        <w:rPr>
          <w:rFonts w:ascii="Arial" w:cs="Arial" w:eastAsia="Arial" w:hAnsi="Arial"/>
          <w:sz w:val="20"/>
          <w:szCs w:val="20"/>
          <w:u w:val="single" w:color="auto"/>
          <w:color w:val="0000FF"/>
        </w:rPr>
        <w:t xml:space="preserve"> </w:t>
      </w:r>
      <w:hyperlink r:id="rId218">
        <w:r>
          <w:rPr>
            <w:rFonts w:ascii="Arial" w:cs="Arial" w:eastAsia="Arial" w:hAnsi="Arial"/>
            <w:sz w:val="20"/>
            <w:szCs w:val="20"/>
            <w:u w:val="single" w:color="auto"/>
            <w:color w:val="0000FF"/>
          </w:rPr>
          <w:t>(incorporated by reference to Exhibit 4.1 to Scientific Games Corporation’s Current Report on Form 8-K filed on February</w:t>
        </w:r>
      </w:hyperlink>
      <w:r>
        <w:rPr>
          <w:rFonts w:ascii="Arial" w:cs="Arial" w:eastAsia="Arial" w:hAnsi="Arial"/>
          <w:sz w:val="20"/>
          <w:szCs w:val="20"/>
          <w:u w:val="single" w:color="auto"/>
          <w:color w:val="0000FF"/>
        </w:rPr>
        <w:t xml:space="preserve"> </w:t>
      </w:r>
      <w:hyperlink r:id="rId218">
        <w:r>
          <w:rPr>
            <w:rFonts w:ascii="Arial" w:cs="Arial" w:eastAsia="Arial" w:hAnsi="Arial"/>
            <w:sz w:val="20"/>
            <w:szCs w:val="20"/>
            <w:u w:val="single" w:color="auto"/>
            <w:color w:val="0000FF"/>
          </w:rPr>
          <w:t>14, 2017).</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-753110</wp:posOffset>
            </wp:positionV>
            <wp:extent cx="7132320" cy="7543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180" w:lineRule="exact"/>
        <w:rPr>
          <w:rFonts w:ascii="Arial" w:cs="Arial" w:eastAsia="Arial" w:hAnsi="Arial"/>
          <w:sz w:val="20"/>
          <w:szCs w:val="20"/>
          <w:u w:val="single" w:color="auto"/>
          <w:color w:val="0000FF"/>
        </w:rPr>
      </w:pPr>
    </w:p>
    <w:p>
      <w:pPr>
        <w:ind w:left="880" w:right="100" w:hanging="879"/>
        <w:spacing w:after="0" w:line="207"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4.19</w:t>
      </w:r>
      <w:r>
        <w:rPr>
          <w:sz w:val="20"/>
          <w:szCs w:val="20"/>
          <w:color w:val="auto"/>
        </w:rPr>
        <w:tab/>
      </w:r>
      <w:hyperlink r:id="rId220">
        <w:r>
          <w:rPr>
            <w:rFonts w:ascii="Arial" w:cs="Arial" w:eastAsia="Arial" w:hAnsi="Arial"/>
            <w:sz w:val="20"/>
            <w:szCs w:val="20"/>
            <w:u w:val="single" w:color="auto"/>
            <w:color w:val="0000FF"/>
          </w:rPr>
          <w:t>Supplemental Indenture, dated as of July 14, 2017, by and among Scientific Games International, Inc., as issuer, Scientific</w:t>
        </w:r>
      </w:hyperlink>
      <w:r>
        <w:rPr>
          <w:rFonts w:ascii="Arial" w:cs="Arial" w:eastAsia="Arial" w:hAnsi="Arial"/>
          <w:sz w:val="20"/>
          <w:szCs w:val="20"/>
          <w:u w:val="single" w:color="auto"/>
          <w:color w:val="0000FF"/>
        </w:rPr>
        <w:t xml:space="preserve"> </w:t>
      </w:r>
      <w:hyperlink r:id="rId220">
        <w:r>
          <w:rPr>
            <w:rFonts w:ascii="Arial" w:cs="Arial" w:eastAsia="Arial" w:hAnsi="Arial"/>
            <w:sz w:val="20"/>
            <w:szCs w:val="20"/>
            <w:u w:val="single" w:color="auto"/>
            <w:color w:val="0000FF"/>
          </w:rPr>
          <w:t>Games Corporation, Lapis Software Associates, LLC and the other guarantors party thereto, and Deutsche Bank Trust</w:t>
        </w:r>
      </w:hyperlink>
      <w:r>
        <w:rPr>
          <w:rFonts w:ascii="Arial" w:cs="Arial" w:eastAsia="Arial" w:hAnsi="Arial"/>
          <w:sz w:val="20"/>
          <w:szCs w:val="20"/>
          <w:u w:val="single" w:color="auto"/>
          <w:color w:val="0000FF"/>
        </w:rPr>
        <w:t xml:space="preserve"> </w:t>
      </w:r>
      <w:hyperlink r:id="rId220">
        <w:r>
          <w:rPr>
            <w:rFonts w:ascii="Arial" w:cs="Arial" w:eastAsia="Arial" w:hAnsi="Arial"/>
            <w:sz w:val="20"/>
            <w:szCs w:val="20"/>
            <w:u w:val="single" w:color="auto"/>
            <w:color w:val="0000FF"/>
          </w:rPr>
          <w:t>Company Americas, as trustee, relating to the Indenture, dated as of November 21, 2014, between SGMS Escrow Corp., as</w:t>
        </w:r>
      </w:hyperlink>
      <w:r>
        <w:rPr>
          <w:rFonts w:ascii="Arial" w:cs="Arial" w:eastAsia="Arial" w:hAnsi="Arial"/>
          <w:sz w:val="20"/>
          <w:szCs w:val="20"/>
          <w:u w:val="single" w:color="auto"/>
          <w:color w:val="0000FF"/>
        </w:rPr>
        <w:t xml:space="preserve"> </w:t>
      </w:r>
      <w:hyperlink r:id="rId220">
        <w:r>
          <w:rPr>
            <w:rFonts w:ascii="Arial" w:cs="Arial" w:eastAsia="Arial" w:hAnsi="Arial"/>
            <w:sz w:val="20"/>
            <w:szCs w:val="20"/>
            <w:u w:val="single" w:color="auto"/>
            <w:color w:val="0000FF"/>
          </w:rPr>
          <w:t>issuer, and Deutsche Bank Trust Company Americas, as trustee and collateral agent, relating to the 7.000% Senior Secured</w:t>
        </w:r>
      </w:hyperlink>
      <w:r>
        <w:rPr>
          <w:rFonts w:ascii="Arial" w:cs="Arial" w:eastAsia="Arial" w:hAnsi="Arial"/>
          <w:sz w:val="20"/>
          <w:szCs w:val="20"/>
          <w:u w:val="single" w:color="auto"/>
          <w:color w:val="0000FF"/>
        </w:rPr>
        <w:t xml:space="preserve"> </w:t>
      </w:r>
      <w:hyperlink r:id="rId220">
        <w:r>
          <w:rPr>
            <w:rFonts w:ascii="Arial" w:cs="Arial" w:eastAsia="Arial" w:hAnsi="Arial"/>
            <w:sz w:val="20"/>
            <w:szCs w:val="20"/>
            <w:u w:val="single" w:color="auto"/>
            <w:color w:val="0000FF"/>
          </w:rPr>
          <w:t>Notes due 2022 (incorporated by reference to Exhibit 10.4 to Scientific Games Corporation’s Quarterly Report on Form 10-</w:t>
        </w:r>
      </w:hyperlink>
      <w:hyperlink r:id="rId220">
        <w:r>
          <w:rPr>
            <w:rFonts w:ascii="Arial" w:cs="Arial" w:eastAsia="Arial" w:hAnsi="Arial"/>
            <w:sz w:val="20"/>
            <w:szCs w:val="20"/>
            <w:u w:val="single" w:color="auto"/>
            <w:color w:val="0000FF"/>
          </w:rPr>
          <w:t>Q for the quarter ended June 30, 2017).</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-753110</wp:posOffset>
            </wp:positionV>
            <wp:extent cx="7132320" cy="7543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180" w:lineRule="exact"/>
        <w:rPr>
          <w:rFonts w:ascii="Arial" w:cs="Arial" w:eastAsia="Arial" w:hAnsi="Arial"/>
          <w:sz w:val="20"/>
          <w:szCs w:val="20"/>
          <w:u w:val="single" w:color="auto"/>
          <w:color w:val="0000FF"/>
        </w:rPr>
      </w:pPr>
    </w:p>
    <w:p>
      <w:pPr>
        <w:ind w:left="880" w:right="14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4.20</w:t>
      </w:r>
      <w:r>
        <w:rPr>
          <w:sz w:val="20"/>
          <w:szCs w:val="20"/>
          <w:color w:val="auto"/>
        </w:rPr>
        <w:tab/>
      </w:r>
      <w:hyperlink r:id="rId222">
        <w:r>
          <w:rPr>
            <w:rFonts w:ascii="Arial" w:cs="Arial" w:eastAsia="Arial" w:hAnsi="Arial"/>
            <w:sz w:val="20"/>
            <w:szCs w:val="20"/>
            <w:u w:val="single" w:color="auto"/>
            <w:color w:val="0000FF"/>
          </w:rPr>
          <w:t>Supplemental Indenture, dated as of January 10, 2018, by and among Scientific Games International, Inc., the subsidiary</w:t>
        </w:r>
      </w:hyperlink>
      <w:r>
        <w:rPr>
          <w:rFonts w:ascii="Arial" w:cs="Arial" w:eastAsia="Arial" w:hAnsi="Arial"/>
          <w:sz w:val="20"/>
          <w:szCs w:val="20"/>
          <w:u w:val="single" w:color="auto"/>
          <w:color w:val="0000FF"/>
        </w:rPr>
        <w:t xml:space="preserve"> </w:t>
      </w:r>
      <w:hyperlink r:id="rId222">
        <w:r>
          <w:rPr>
            <w:rFonts w:ascii="Arial" w:cs="Arial" w:eastAsia="Arial" w:hAnsi="Arial"/>
            <w:sz w:val="20"/>
            <w:szCs w:val="20"/>
            <w:u w:val="single" w:color="auto"/>
            <w:color w:val="0000FF"/>
          </w:rPr>
          <w:t>guarantors party thereto, Scientific Games Corporation and Deutsche Bank Trust Company Americas, as trustee, relating to</w:t>
        </w:r>
      </w:hyperlink>
      <w:r>
        <w:rPr>
          <w:rFonts w:ascii="Arial" w:cs="Arial" w:eastAsia="Arial" w:hAnsi="Arial"/>
          <w:sz w:val="20"/>
          <w:szCs w:val="20"/>
          <w:u w:val="single" w:color="auto"/>
          <w:color w:val="0000FF"/>
        </w:rPr>
        <w:t xml:space="preserve"> </w:t>
      </w:r>
      <w:hyperlink r:id="rId222">
        <w:r>
          <w:rPr>
            <w:rFonts w:ascii="Arial" w:cs="Arial" w:eastAsia="Arial" w:hAnsi="Arial"/>
            <w:sz w:val="20"/>
            <w:szCs w:val="20"/>
            <w:u w:val="single" w:color="auto"/>
            <w:color w:val="0000FF"/>
          </w:rPr>
          <w:t>the Indenture, dated as of November 21, 2014, as amended and supplemented, relating to the 7.000% Senior Secured Notes</w:t>
        </w:r>
      </w:hyperlink>
      <w:r>
        <w:rPr>
          <w:rFonts w:ascii="Arial" w:cs="Arial" w:eastAsia="Arial" w:hAnsi="Arial"/>
          <w:sz w:val="20"/>
          <w:szCs w:val="20"/>
          <w:u w:val="single" w:color="auto"/>
          <w:color w:val="0000FF"/>
        </w:rPr>
        <w:t xml:space="preserve"> </w:t>
      </w:r>
      <w:hyperlink r:id="rId222">
        <w:r>
          <w:rPr>
            <w:rFonts w:ascii="Arial" w:cs="Arial" w:eastAsia="Arial" w:hAnsi="Arial"/>
            <w:sz w:val="20"/>
            <w:szCs w:val="20"/>
            <w:u w:val="single" w:color="auto"/>
            <w:color w:val="0000FF"/>
          </w:rPr>
          <w:t>due 2022 (incorporated by reference to Exhibit 4.6 to Scientific Games Corporation’s Current Report on Form 8-K filed on</w:t>
        </w:r>
      </w:hyperlink>
      <w:r>
        <w:rPr>
          <w:rFonts w:ascii="Arial" w:cs="Arial" w:eastAsia="Arial" w:hAnsi="Arial"/>
          <w:sz w:val="20"/>
          <w:szCs w:val="20"/>
          <w:u w:val="single" w:color="auto"/>
          <w:color w:val="0000FF"/>
        </w:rPr>
        <w:t xml:space="preserve"> </w:t>
      </w:r>
      <w:hyperlink r:id="rId222">
        <w:r>
          <w:rPr>
            <w:rFonts w:ascii="Arial" w:cs="Arial" w:eastAsia="Arial" w:hAnsi="Arial"/>
            <w:sz w:val="20"/>
            <w:szCs w:val="20"/>
            <w:u w:val="single" w:color="auto"/>
            <w:color w:val="0000FF"/>
          </w:rPr>
          <w:t>January 10, 2018).</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160" w:hanging="879"/>
        <w:spacing w:after="0" w:line="218" w:lineRule="auto"/>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4.21</w:t>
      </w:r>
      <w:r>
        <w:rPr>
          <w:sz w:val="20"/>
          <w:szCs w:val="20"/>
          <w:color w:val="auto"/>
        </w:rPr>
        <w:tab/>
      </w:r>
      <w:hyperlink r:id="rId224">
        <w:r>
          <w:rPr>
            <w:rFonts w:ascii="Arial" w:cs="Arial" w:eastAsia="Arial" w:hAnsi="Arial"/>
            <w:sz w:val="19"/>
            <w:szCs w:val="19"/>
            <w:u w:val="single" w:color="auto"/>
            <w:color w:val="0000FF"/>
          </w:rPr>
          <w:t>Amended and Restated Rights Agreement, dated as of January 10, 2018, between Scientific Games Corporation and</w:t>
        </w:r>
      </w:hyperlink>
      <w:r>
        <w:rPr>
          <w:rFonts w:ascii="Arial" w:cs="Arial" w:eastAsia="Arial" w:hAnsi="Arial"/>
          <w:sz w:val="19"/>
          <w:szCs w:val="19"/>
          <w:u w:val="single" w:color="auto"/>
          <w:color w:val="0000FF"/>
        </w:rPr>
        <w:t xml:space="preserve"> </w:t>
      </w:r>
      <w:hyperlink r:id="rId224">
        <w:r>
          <w:rPr>
            <w:rFonts w:ascii="Arial" w:cs="Arial" w:eastAsia="Arial" w:hAnsi="Arial"/>
            <w:sz w:val="19"/>
            <w:szCs w:val="19"/>
            <w:u w:val="single" w:color="auto"/>
            <w:color w:val="0000FF"/>
          </w:rPr>
          <w:t>American Stock Transfer &amp; Trust Company, LLC which includes the Form of Certificate of Designation of Series A Junior</w:t>
        </w:r>
      </w:hyperlink>
      <w:r>
        <w:rPr>
          <w:rFonts w:ascii="Arial" w:cs="Arial" w:eastAsia="Arial" w:hAnsi="Arial"/>
          <w:sz w:val="19"/>
          <w:szCs w:val="19"/>
          <w:u w:val="single" w:color="auto"/>
          <w:color w:val="0000FF"/>
        </w:rPr>
        <w:t xml:space="preserve"> </w:t>
      </w:r>
      <w:hyperlink r:id="rId224">
        <w:r>
          <w:rPr>
            <w:rFonts w:ascii="Arial" w:cs="Arial" w:eastAsia="Arial" w:hAnsi="Arial"/>
            <w:sz w:val="19"/>
            <w:szCs w:val="19"/>
            <w:u w:val="single" w:color="auto"/>
            <w:color w:val="0000FF"/>
          </w:rPr>
          <w:t>Participating Preferred Stock of Scientific Games Corporation as Exhibit A, the Form of Right Certificate as Exhibit B, the</w:t>
        </w:r>
      </w:hyperlink>
      <w:r>
        <w:rPr>
          <w:rFonts w:ascii="Arial" w:cs="Arial" w:eastAsia="Arial" w:hAnsi="Arial"/>
          <w:sz w:val="19"/>
          <w:szCs w:val="19"/>
          <w:u w:val="single" w:color="auto"/>
          <w:color w:val="0000FF"/>
        </w:rPr>
        <w:t xml:space="preserve"> </w:t>
      </w:r>
      <w:hyperlink r:id="rId224">
        <w:r>
          <w:rPr>
            <w:rFonts w:ascii="Arial" w:cs="Arial" w:eastAsia="Arial" w:hAnsi="Arial"/>
            <w:sz w:val="19"/>
            <w:szCs w:val="19"/>
            <w:u w:val="single" w:color="auto"/>
            <w:color w:val="0000FF"/>
          </w:rPr>
          <w:t>Summary of Rights to Purchase Shares of Preferred Stock of Scientific Games Corporation as Exhibit C and a the Form of</w:t>
        </w:r>
      </w:hyperlink>
      <w:r>
        <w:rPr>
          <w:rFonts w:ascii="Arial" w:cs="Arial" w:eastAsia="Arial" w:hAnsi="Arial"/>
          <w:sz w:val="19"/>
          <w:szCs w:val="19"/>
          <w:u w:val="single" w:color="auto"/>
          <w:color w:val="0000FF"/>
        </w:rPr>
        <w:t xml:space="preserve"> </w:t>
      </w:r>
      <w:hyperlink r:id="rId224">
        <w:r>
          <w:rPr>
            <w:rFonts w:ascii="Arial" w:cs="Arial" w:eastAsia="Arial" w:hAnsi="Arial"/>
            <w:sz w:val="19"/>
            <w:szCs w:val="19"/>
            <w:u w:val="single" w:color="auto"/>
            <w:color w:val="0000FF"/>
          </w:rPr>
          <w:t>Consent to Jurisdiction as Exhibit D (incorporated by reference to Exhibit 4.3 to Scientific Games Corporation’s Current</w:t>
        </w:r>
      </w:hyperlink>
      <w:r>
        <w:rPr>
          <w:rFonts w:ascii="Arial" w:cs="Arial" w:eastAsia="Arial" w:hAnsi="Arial"/>
          <w:sz w:val="19"/>
          <w:szCs w:val="19"/>
          <w:u w:val="single" w:color="auto"/>
          <w:color w:val="0000FF"/>
        </w:rPr>
        <w:t xml:space="preserve"> </w:t>
      </w:r>
      <w:hyperlink r:id="rId224">
        <w:r>
          <w:rPr>
            <w:rFonts w:ascii="Arial" w:cs="Arial" w:eastAsia="Arial" w:hAnsi="Arial"/>
            <w:sz w:val="19"/>
            <w:szCs w:val="19"/>
            <w:u w:val="single" w:color="auto"/>
            <w:color w:val="0000FF"/>
          </w:rPr>
          <w:t>Report on Form 8-K filed on January 10, 2018).</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-753110</wp:posOffset>
            </wp:positionV>
            <wp:extent cx="7132320" cy="7543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180" w:lineRule="exact"/>
        <w:rPr>
          <w:rFonts w:ascii="Arial" w:cs="Arial" w:eastAsia="Arial" w:hAnsi="Arial"/>
          <w:sz w:val="19"/>
          <w:szCs w:val="19"/>
          <w:u w:val="single" w:color="auto"/>
          <w:color w:val="0000FF"/>
        </w:rPr>
      </w:pPr>
    </w:p>
    <w:p>
      <w:pPr>
        <w:ind w:left="880" w:right="2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4.22</w:t>
      </w:r>
      <w:r>
        <w:rPr>
          <w:sz w:val="20"/>
          <w:szCs w:val="20"/>
          <w:color w:val="auto"/>
        </w:rPr>
        <w:tab/>
      </w:r>
      <w:hyperlink r:id="rId226">
        <w:r>
          <w:rPr>
            <w:rFonts w:ascii="Arial" w:cs="Arial" w:eastAsia="Arial" w:hAnsi="Arial"/>
            <w:sz w:val="20"/>
            <w:szCs w:val="20"/>
            <w:u w:val="single" w:color="auto"/>
            <w:color w:val="0000FF"/>
          </w:rPr>
          <w:t>Amendment to Amended and Restated Rights Agreement, dated as of June 16, 2020, to the Amended and Restated Rights</w:t>
        </w:r>
      </w:hyperlink>
      <w:r>
        <w:rPr>
          <w:rFonts w:ascii="Arial" w:cs="Arial" w:eastAsia="Arial" w:hAnsi="Arial"/>
          <w:sz w:val="20"/>
          <w:szCs w:val="20"/>
          <w:u w:val="single" w:color="auto"/>
          <w:color w:val="0000FF"/>
        </w:rPr>
        <w:t xml:space="preserve"> </w:t>
      </w:r>
      <w:hyperlink r:id="rId226">
        <w:r>
          <w:rPr>
            <w:rFonts w:ascii="Arial" w:cs="Arial" w:eastAsia="Arial" w:hAnsi="Arial"/>
            <w:sz w:val="20"/>
            <w:szCs w:val="20"/>
            <w:u w:val="single" w:color="auto"/>
            <w:color w:val="0000FF"/>
          </w:rPr>
          <w:t>Agreement, dated as of January 10, 2018, by and between Scientific Games Corporation and American Stock Transfer &amp;</w:t>
        </w:r>
      </w:hyperlink>
      <w:r>
        <w:rPr>
          <w:rFonts w:ascii="Arial" w:cs="Arial" w:eastAsia="Arial" w:hAnsi="Arial"/>
          <w:sz w:val="20"/>
          <w:szCs w:val="20"/>
          <w:u w:val="single" w:color="auto"/>
          <w:color w:val="0000FF"/>
        </w:rPr>
        <w:t xml:space="preserve"> </w:t>
      </w:r>
      <w:hyperlink r:id="rId226">
        <w:r>
          <w:rPr>
            <w:rFonts w:ascii="Arial" w:cs="Arial" w:eastAsia="Arial" w:hAnsi="Arial"/>
            <w:sz w:val="20"/>
            <w:szCs w:val="20"/>
            <w:u w:val="single" w:color="auto"/>
            <w:color w:val="0000FF"/>
          </w:rPr>
          <w:t>Trust Company, LLC (incorporated by reference to Exhibit 4.1 to Scientific Games Corporation’s Current Report on Form 8-</w:t>
        </w:r>
      </w:hyperlink>
      <w:hyperlink r:id="rId226">
        <w:r>
          <w:rPr>
            <w:rFonts w:ascii="Arial" w:cs="Arial" w:eastAsia="Arial" w:hAnsi="Arial"/>
            <w:sz w:val="20"/>
            <w:szCs w:val="20"/>
            <w:u w:val="single" w:color="auto"/>
            <w:color w:val="0000FF"/>
          </w:rPr>
          <w:t>K filed on June 19,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80" w:right="4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4.23</w:t>
      </w:r>
      <w:r>
        <w:rPr>
          <w:sz w:val="20"/>
          <w:szCs w:val="20"/>
          <w:color w:val="auto"/>
        </w:rPr>
        <w:tab/>
      </w:r>
      <w:hyperlink r:id="rId228">
        <w:r>
          <w:rPr>
            <w:rFonts w:ascii="Arial" w:cs="Arial" w:eastAsia="Arial" w:hAnsi="Arial"/>
            <w:sz w:val="20"/>
            <w:szCs w:val="20"/>
            <w:u w:val="single" w:color="auto"/>
            <w:color w:val="0000FF"/>
          </w:rPr>
          <w:t>Indenture, dated as of October 17, 2017, among Scientific Games International, Inc., as issuer, Scientific Games Corporation</w:t>
        </w:r>
      </w:hyperlink>
      <w:r>
        <w:rPr>
          <w:rFonts w:ascii="Arial" w:cs="Arial" w:eastAsia="Arial" w:hAnsi="Arial"/>
          <w:sz w:val="20"/>
          <w:szCs w:val="20"/>
          <w:u w:val="single" w:color="auto"/>
          <w:color w:val="0000FF"/>
        </w:rPr>
        <w:t xml:space="preserve"> </w:t>
      </w:r>
      <w:hyperlink r:id="rId228">
        <w:r>
          <w:rPr>
            <w:rFonts w:ascii="Arial" w:cs="Arial" w:eastAsia="Arial" w:hAnsi="Arial"/>
            <w:sz w:val="20"/>
            <w:szCs w:val="20"/>
            <w:u w:val="single" w:color="auto"/>
            <w:color w:val="0000FF"/>
          </w:rPr>
          <w:t>and the other guarantors party thereto and Deutsche Bank Trust Company Americas, as trustee and collateral agent, relating</w:t>
        </w:r>
      </w:hyperlink>
      <w:r>
        <w:rPr>
          <w:rFonts w:ascii="Arial" w:cs="Arial" w:eastAsia="Arial" w:hAnsi="Arial"/>
          <w:sz w:val="20"/>
          <w:szCs w:val="20"/>
          <w:u w:val="single" w:color="auto"/>
          <w:color w:val="0000FF"/>
        </w:rPr>
        <w:t xml:space="preserve"> </w:t>
      </w:r>
      <w:hyperlink r:id="rId228">
        <w:r>
          <w:rPr>
            <w:rFonts w:ascii="Arial" w:cs="Arial" w:eastAsia="Arial" w:hAnsi="Arial"/>
            <w:sz w:val="20"/>
            <w:szCs w:val="20"/>
            <w:u w:val="single" w:color="auto"/>
            <w:color w:val="0000FF"/>
          </w:rPr>
          <w:t>to the 5.000% Senior Secured Notes due 2025 (incorporated by reference to Exhibit 4.1 to Scientific Games Corporation's</w:t>
        </w:r>
      </w:hyperlink>
      <w:r>
        <w:rPr>
          <w:rFonts w:ascii="Arial" w:cs="Arial" w:eastAsia="Arial" w:hAnsi="Arial"/>
          <w:sz w:val="20"/>
          <w:szCs w:val="20"/>
          <w:u w:val="single" w:color="auto"/>
          <w:color w:val="0000FF"/>
        </w:rPr>
        <w:t xml:space="preserve"> </w:t>
      </w:r>
      <w:hyperlink r:id="rId228">
        <w:r>
          <w:rPr>
            <w:rFonts w:ascii="Arial" w:cs="Arial" w:eastAsia="Arial" w:hAnsi="Arial"/>
            <w:sz w:val="20"/>
            <w:szCs w:val="20"/>
            <w:u w:val="single" w:color="auto"/>
            <w:color w:val="0000FF"/>
          </w:rPr>
          <w:t>Current Report on Form 8-K filed on October 17, 2017).</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80" w:right="100" w:hanging="879"/>
        <w:spacing w:after="0" w:line="231" w:lineRule="auto"/>
        <w:tabs>
          <w:tab w:leader="none" w:pos="860" w:val="left"/>
        </w:tabs>
        <w:rPr>
          <w:rFonts w:ascii="Arial" w:cs="Arial" w:eastAsia="Arial" w:hAnsi="Arial"/>
          <w:sz w:val="18"/>
          <w:szCs w:val="18"/>
          <w:u w:val="single" w:color="auto"/>
          <w:color w:val="0000FF"/>
        </w:rPr>
      </w:pPr>
      <w:r>
        <w:rPr>
          <w:rFonts w:ascii="Arial" w:cs="Arial" w:eastAsia="Arial" w:hAnsi="Arial"/>
          <w:sz w:val="20"/>
          <w:szCs w:val="20"/>
          <w:color w:val="auto"/>
        </w:rPr>
        <w:t>4.24</w:t>
      </w:r>
      <w:r>
        <w:rPr>
          <w:sz w:val="20"/>
          <w:szCs w:val="20"/>
          <w:color w:val="auto"/>
        </w:rPr>
        <w:tab/>
      </w:r>
      <w:hyperlink r:id="rId230">
        <w:r>
          <w:rPr>
            <w:rFonts w:ascii="Arial" w:cs="Arial" w:eastAsia="Arial" w:hAnsi="Arial"/>
            <w:sz w:val="18"/>
            <w:szCs w:val="18"/>
            <w:u w:val="single" w:color="auto"/>
            <w:color w:val="0000FF"/>
          </w:rPr>
          <w:t>Supplemental Indenture, dated as of February 14, 2018, among Scientific Games International, Inc. as issuer, Scientific</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Games Corporation and the other guarantors party thereto and Deutsche Bank Trust Company Americas, as trustee and</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collateral agent, relating to the Indenture, dated as of October 17, 2017, among Scientific Games International, as issuer,</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Scientific Games Corporation and the other guarantors party thereto, and Deutsche Bank Trust Company Americas, as</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trustee and collateral agent, relating to the 5.000% Senior Secured Notes due 2025 (incorporated by reference to Exhibit 4.1</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to Scientific Games Corporation’s Current Report on Form 8-K filed on February 14,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-756285</wp:posOffset>
            </wp:positionV>
            <wp:extent cx="7132320" cy="7543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66" w:lineRule="exact"/>
        <w:rPr>
          <w:rFonts w:ascii="Arial" w:cs="Arial" w:eastAsia="Arial" w:hAnsi="Arial"/>
          <w:sz w:val="18"/>
          <w:szCs w:val="18"/>
          <w:u w:val="single" w:color="auto"/>
          <w:color w:val="0000FF"/>
        </w:rPr>
      </w:pPr>
    </w:p>
    <w:p>
      <w:pPr>
        <w:jc w:val="center"/>
        <w:ind w:right="400"/>
        <w:spacing w:after="0"/>
        <w:rPr>
          <w:sz w:val="20"/>
          <w:szCs w:val="20"/>
          <w:color w:val="auto"/>
        </w:rPr>
      </w:pPr>
      <w:r>
        <w:rPr>
          <w:rFonts w:ascii="Arial" w:cs="Arial" w:eastAsia="Arial" w:hAnsi="Arial"/>
          <w:sz w:val="18"/>
          <w:szCs w:val="18"/>
          <w:color w:val="auto"/>
        </w:rPr>
        <w:t>135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40" w:top="1135" w:right="359" w:bottom="1440" w:gutter="0" w:footer="0" w:header="0"/>
        </w:sectPr>
      </w:pPr>
    </w:p>
    <w:bookmarkStart w:id="135" w:name="page136"/>
    <w:bookmarkEnd w:id="135"/>
    <w:p>
      <w:pPr>
        <w:ind w:left="880" w:hanging="879"/>
        <w:spacing w:after="0" w:line="233" w:lineRule="auto"/>
        <w:tabs>
          <w:tab w:leader="none" w:pos="860" w:val="left"/>
        </w:tabs>
        <w:rPr>
          <w:rFonts w:ascii="Arial" w:cs="Arial" w:eastAsia="Arial" w:hAnsi="Arial"/>
          <w:sz w:val="18"/>
          <w:szCs w:val="18"/>
          <w:u w:val="single" w:color="auto"/>
          <w:color w:val="0000FF"/>
        </w:rPr>
      </w:pPr>
      <w:r>
        <w:rPr>
          <w:rFonts w:ascii="Arial" w:cs="Arial" w:eastAsia="Arial" w:hAnsi="Arial"/>
          <w:sz w:val="20"/>
          <w:szCs w:val="20"/>
          <w:color w:val="auto"/>
        </w:rPr>
        <w:t>4.25</w:t>
      </w:r>
      <w:r>
        <w:rPr>
          <w:sz w:val="20"/>
          <w:szCs w:val="20"/>
          <w:color w:val="auto"/>
        </w:rPr>
        <w:tab/>
      </w:r>
      <w:hyperlink r:id="rId233">
        <w:r>
          <w:rPr>
            <w:rFonts w:ascii="Arial" w:cs="Arial" w:eastAsia="Arial" w:hAnsi="Arial"/>
            <w:sz w:val="18"/>
            <w:szCs w:val="18"/>
            <w:u w:val="single" w:color="auto"/>
            <w:color w:val="0000FF"/>
          </w:rPr>
          <w:t>Supplemental Indenture, dated as of November 1, 2018, by and among Scientific Games International, Inc., as issuer,</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Scientific Games Corporation, Don Best Sports Corporation and the other guarantors party thereto, and Deutsche Bank Trust</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Company Americas, as trustee and collateral agent, relating to the Indenture, dated as of October 17, 2017, as amended and</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supplemented, relating to the 5.000% Senior Secured Notes due 2025 (incorporated by reference to Exhibit 4.41 to Scientific</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Games Corporation’s Annual Report on Form 10-K for the year ended December 31,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-635000</wp:posOffset>
            </wp:positionV>
            <wp:extent cx="7132320" cy="6343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7" w:lineRule="exact"/>
        <w:rPr>
          <w:rFonts w:ascii="Arial" w:cs="Arial" w:eastAsia="Arial" w:hAnsi="Arial"/>
          <w:sz w:val="18"/>
          <w:szCs w:val="18"/>
          <w:u w:val="single" w:color="auto"/>
          <w:color w:val="0000FF"/>
        </w:rPr>
      </w:pPr>
    </w:p>
    <w:p>
      <w:pPr>
        <w:ind w:left="880" w:hanging="879"/>
        <w:spacing w:after="0" w:line="221" w:lineRule="auto"/>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4.26</w:t>
      </w:r>
      <w:r>
        <w:rPr>
          <w:sz w:val="20"/>
          <w:szCs w:val="20"/>
          <w:color w:val="auto"/>
        </w:rPr>
        <w:tab/>
      </w:r>
      <w:hyperlink r:id="rId235">
        <w:r>
          <w:rPr>
            <w:rFonts w:ascii="Arial" w:cs="Arial" w:eastAsia="Arial" w:hAnsi="Arial"/>
            <w:sz w:val="19"/>
            <w:szCs w:val="19"/>
            <w:u w:val="single" w:color="auto"/>
            <w:color w:val="0000FF"/>
          </w:rPr>
          <w:t>Supplemental Indenture, dated as of January 23, 2020, by and among Scientific Games International, Inc., as issuer,</w:t>
        </w:r>
      </w:hyperlink>
      <w:r>
        <w:rPr>
          <w:rFonts w:ascii="Arial" w:cs="Arial" w:eastAsia="Arial" w:hAnsi="Arial"/>
          <w:sz w:val="19"/>
          <w:szCs w:val="19"/>
          <w:u w:val="single" w:color="auto"/>
          <w:color w:val="0000FF"/>
        </w:rPr>
        <w:t xml:space="preserve"> </w:t>
      </w:r>
      <w:hyperlink r:id="rId235">
        <w:r>
          <w:rPr>
            <w:rFonts w:ascii="Arial" w:cs="Arial" w:eastAsia="Arial" w:hAnsi="Arial"/>
            <w:sz w:val="19"/>
            <w:szCs w:val="19"/>
            <w:u w:val="single" w:color="auto"/>
            <w:color w:val="0000FF"/>
          </w:rPr>
          <w:t>Scientific Games Corporation, NYX Digital Gaming (USA), LLC and the other guarantors party thereto, and Deutsche Bank</w:t>
        </w:r>
      </w:hyperlink>
      <w:r>
        <w:rPr>
          <w:rFonts w:ascii="Arial" w:cs="Arial" w:eastAsia="Arial" w:hAnsi="Arial"/>
          <w:sz w:val="19"/>
          <w:szCs w:val="19"/>
          <w:u w:val="single" w:color="auto"/>
          <w:color w:val="0000FF"/>
        </w:rPr>
        <w:t xml:space="preserve"> </w:t>
      </w:r>
      <w:hyperlink r:id="rId235">
        <w:r>
          <w:rPr>
            <w:rFonts w:ascii="Arial" w:cs="Arial" w:eastAsia="Arial" w:hAnsi="Arial"/>
            <w:sz w:val="19"/>
            <w:szCs w:val="19"/>
            <w:u w:val="single" w:color="auto"/>
            <w:color w:val="0000FF"/>
          </w:rPr>
          <w:t>Trust Company Americas, as trustee and collateral agent, relating to the Indenture, dated as of October 17, 2017, as amended</w:t>
        </w:r>
      </w:hyperlink>
      <w:r>
        <w:rPr>
          <w:rFonts w:ascii="Arial" w:cs="Arial" w:eastAsia="Arial" w:hAnsi="Arial"/>
          <w:sz w:val="19"/>
          <w:szCs w:val="19"/>
          <w:u w:val="single" w:color="auto"/>
          <w:color w:val="0000FF"/>
        </w:rPr>
        <w:t xml:space="preserve"> </w:t>
      </w:r>
      <w:hyperlink r:id="rId235">
        <w:r>
          <w:rPr>
            <w:rFonts w:ascii="Arial" w:cs="Arial" w:eastAsia="Arial" w:hAnsi="Arial"/>
            <w:sz w:val="19"/>
            <w:szCs w:val="19"/>
            <w:u w:val="single" w:color="auto"/>
            <w:color w:val="0000FF"/>
          </w:rPr>
          <w:t>and supplemented, relating to the 5.000% Senior Secured Notes due 2025 (incorporated by reference to Exhibit 4.35 to</w:t>
        </w:r>
      </w:hyperlink>
      <w:r>
        <w:rPr>
          <w:rFonts w:ascii="Arial" w:cs="Arial" w:eastAsia="Arial" w:hAnsi="Arial"/>
          <w:sz w:val="19"/>
          <w:szCs w:val="19"/>
          <w:u w:val="single" w:color="auto"/>
          <w:color w:val="0000FF"/>
        </w:rPr>
        <w:t xml:space="preserve"> </w:t>
      </w:r>
      <w:hyperlink r:id="rId235">
        <w:r>
          <w:rPr>
            <w:rFonts w:ascii="Arial" w:cs="Arial" w:eastAsia="Arial" w:hAnsi="Arial"/>
            <w:sz w:val="19"/>
            <w:szCs w:val="19"/>
            <w:u w:val="single" w:color="auto"/>
            <w:color w:val="0000FF"/>
          </w:rPr>
          <w:t>Scientific Games Corporation’s Annual Report on Form 10-K filed on February 18, 2020).</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6" w:lineRule="exact"/>
        <w:rPr>
          <w:rFonts w:ascii="Arial" w:cs="Arial" w:eastAsia="Arial" w:hAnsi="Arial"/>
          <w:sz w:val="19"/>
          <w:szCs w:val="19"/>
          <w:u w:val="single" w:color="auto"/>
          <w:color w:val="0000FF"/>
        </w:rPr>
      </w:pPr>
    </w:p>
    <w:p>
      <w:pPr>
        <w:ind w:left="880" w:right="14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4.27</w:t>
      </w:r>
      <w:r>
        <w:rPr>
          <w:sz w:val="20"/>
          <w:szCs w:val="20"/>
          <w:color w:val="auto"/>
        </w:rPr>
        <w:tab/>
      </w:r>
      <w:hyperlink r:id="rId237">
        <w:r>
          <w:rPr>
            <w:rFonts w:ascii="Arial" w:cs="Arial" w:eastAsia="Arial" w:hAnsi="Arial"/>
            <w:sz w:val="20"/>
            <w:szCs w:val="20"/>
            <w:u w:val="single" w:color="auto"/>
            <w:color w:val="0000FF"/>
          </w:rPr>
          <w:t>Supplemental Indenture, dated as of January 5, 2021, by and among Scientific Games International, Inc., as issuer, SGI</w:t>
        </w:r>
      </w:hyperlink>
      <w:r>
        <w:rPr>
          <w:rFonts w:ascii="Arial" w:cs="Arial" w:eastAsia="Arial" w:hAnsi="Arial"/>
          <w:sz w:val="20"/>
          <w:szCs w:val="20"/>
          <w:u w:val="single" w:color="auto"/>
          <w:color w:val="0000FF"/>
        </w:rPr>
        <w:t xml:space="preserve"> </w:t>
      </w:r>
      <w:hyperlink r:id="rId237">
        <w:r>
          <w:rPr>
            <w:rFonts w:ascii="Arial" w:cs="Arial" w:eastAsia="Arial" w:hAnsi="Arial"/>
            <w:sz w:val="20"/>
            <w:szCs w:val="20"/>
            <w:u w:val="single" w:color="auto"/>
            <w:color w:val="0000FF"/>
          </w:rPr>
          <w:t>Lottery LLC and the other guarantors party thereto, and Deutsche Bank Trust Company Americas, as trustee and collateral</w:t>
        </w:r>
      </w:hyperlink>
      <w:r>
        <w:rPr>
          <w:rFonts w:ascii="Arial" w:cs="Arial" w:eastAsia="Arial" w:hAnsi="Arial"/>
          <w:sz w:val="20"/>
          <w:szCs w:val="20"/>
          <w:u w:val="single" w:color="auto"/>
          <w:color w:val="0000FF"/>
        </w:rPr>
        <w:t xml:space="preserve"> </w:t>
      </w:r>
      <w:hyperlink r:id="rId237">
        <w:r>
          <w:rPr>
            <w:rFonts w:ascii="Arial" w:cs="Arial" w:eastAsia="Arial" w:hAnsi="Arial"/>
            <w:sz w:val="20"/>
            <w:szCs w:val="20"/>
            <w:u w:val="single" w:color="auto"/>
            <w:color w:val="0000FF"/>
          </w:rPr>
          <w:t>agent, relating to the Indenture, dated as of October 17, 2017, as amended and supplemented, relating to the 5.000% Senior</w:t>
        </w:r>
      </w:hyperlink>
      <w:r>
        <w:rPr>
          <w:rFonts w:ascii="Arial" w:cs="Arial" w:eastAsia="Arial" w:hAnsi="Arial"/>
          <w:sz w:val="20"/>
          <w:szCs w:val="20"/>
          <w:u w:val="single" w:color="auto"/>
          <w:color w:val="0000FF"/>
        </w:rPr>
        <w:t xml:space="preserve"> </w:t>
      </w:r>
      <w:hyperlink r:id="rId237">
        <w:r>
          <w:rPr>
            <w:rFonts w:ascii="Arial" w:cs="Arial" w:eastAsia="Arial" w:hAnsi="Arial"/>
            <w:sz w:val="20"/>
            <w:szCs w:val="20"/>
            <w:u w:val="single" w:color="auto"/>
            <w:color w:val="0000FF"/>
          </w:rPr>
          <w:t>Secured Notes due 2025 (incorporated by reference to Exhibit 4.27 to Scientific Games Corporation’s Annual Report on</w:t>
        </w:r>
      </w:hyperlink>
      <w:r>
        <w:rPr>
          <w:rFonts w:ascii="Arial" w:cs="Arial" w:eastAsia="Arial" w:hAnsi="Arial"/>
          <w:sz w:val="20"/>
          <w:szCs w:val="20"/>
          <w:u w:val="single" w:color="auto"/>
          <w:color w:val="0000FF"/>
        </w:rPr>
        <w:t xml:space="preserve"> </w:t>
      </w:r>
      <w:hyperlink r:id="rId237">
        <w:r>
          <w:rPr>
            <w:rFonts w:ascii="Arial" w:cs="Arial" w:eastAsia="Arial" w:hAnsi="Arial"/>
            <w:sz w:val="20"/>
            <w:szCs w:val="20"/>
            <w:u w:val="single" w:color="auto"/>
            <w:color w:val="0000FF"/>
          </w:rPr>
          <w:t>Form 10-K for the year ended December 31,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8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4.28</w:t>
      </w:r>
      <w:r>
        <w:rPr>
          <w:sz w:val="20"/>
          <w:szCs w:val="20"/>
          <w:color w:val="auto"/>
        </w:rPr>
        <w:tab/>
      </w:r>
      <w:hyperlink r:id="rId239">
        <w:r>
          <w:rPr>
            <w:rFonts w:ascii="Arial" w:cs="Arial" w:eastAsia="Arial" w:hAnsi="Arial"/>
            <w:sz w:val="20"/>
            <w:szCs w:val="20"/>
            <w:u w:val="single" w:color="auto"/>
            <w:color w:val="0000FF"/>
          </w:rPr>
          <w:t>Collateral Agreement, dated as of October 17, 2017, among Scientific Games International, Inc., as issuer, Scientific Games</w:t>
        </w:r>
      </w:hyperlink>
      <w:r>
        <w:rPr>
          <w:rFonts w:ascii="Arial" w:cs="Arial" w:eastAsia="Arial" w:hAnsi="Arial"/>
          <w:sz w:val="20"/>
          <w:szCs w:val="20"/>
          <w:u w:val="single" w:color="auto"/>
          <w:color w:val="0000FF"/>
        </w:rPr>
        <w:t xml:space="preserve"> </w:t>
      </w:r>
      <w:hyperlink r:id="rId239">
        <w:r>
          <w:rPr>
            <w:rFonts w:ascii="Arial" w:cs="Arial" w:eastAsia="Arial" w:hAnsi="Arial"/>
            <w:sz w:val="20"/>
            <w:szCs w:val="20"/>
            <w:u w:val="single" w:color="auto"/>
            <w:color w:val="0000FF"/>
          </w:rPr>
          <w:t>Corporation and the other guarantors party thereto and Deutsche Bank Trust Company Americas, as collateral agent</w:t>
        </w:r>
      </w:hyperlink>
      <w:r>
        <w:rPr>
          <w:rFonts w:ascii="Arial" w:cs="Arial" w:eastAsia="Arial" w:hAnsi="Arial"/>
          <w:sz w:val="20"/>
          <w:szCs w:val="20"/>
          <w:u w:val="single" w:color="auto"/>
          <w:color w:val="0000FF"/>
        </w:rPr>
        <w:t xml:space="preserve"> </w:t>
      </w:r>
      <w:hyperlink r:id="rId239">
        <w:r>
          <w:rPr>
            <w:rFonts w:ascii="Arial" w:cs="Arial" w:eastAsia="Arial" w:hAnsi="Arial"/>
            <w:sz w:val="20"/>
            <w:szCs w:val="20"/>
            <w:u w:val="single" w:color="auto"/>
            <w:color w:val="0000FF"/>
          </w:rPr>
          <w:t>(incorporated by reference to Exhibit 4.2 to Scientific Games Corporation's Current Report on Form 8-K filed on October</w:t>
        </w:r>
      </w:hyperlink>
      <w:r>
        <w:rPr>
          <w:rFonts w:ascii="Arial" w:cs="Arial" w:eastAsia="Arial" w:hAnsi="Arial"/>
          <w:sz w:val="20"/>
          <w:szCs w:val="20"/>
          <w:u w:val="single" w:color="auto"/>
          <w:color w:val="0000FF"/>
        </w:rPr>
        <w:t xml:space="preserve"> </w:t>
      </w:r>
      <w:hyperlink r:id="rId239">
        <w:r>
          <w:rPr>
            <w:rFonts w:ascii="Arial" w:cs="Arial" w:eastAsia="Arial" w:hAnsi="Arial"/>
            <w:sz w:val="20"/>
            <w:szCs w:val="20"/>
            <w:u w:val="single" w:color="auto"/>
            <w:color w:val="0000FF"/>
          </w:rPr>
          <w:t>17, 2017).</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80" w:right="2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4.29</w:t>
      </w:r>
      <w:r>
        <w:rPr>
          <w:sz w:val="20"/>
          <w:szCs w:val="20"/>
          <w:color w:val="auto"/>
        </w:rPr>
        <w:tab/>
      </w:r>
      <w:hyperlink r:id="rId241">
        <w:r>
          <w:rPr>
            <w:rFonts w:ascii="Arial" w:cs="Arial" w:eastAsia="Arial" w:hAnsi="Arial"/>
            <w:sz w:val="20"/>
            <w:szCs w:val="20"/>
            <w:u w:val="single" w:color="auto"/>
            <w:color w:val="0000FF"/>
          </w:rPr>
          <w:t>Indenture, dated as of February 14, 2018, among Scientific Games International, Inc., as issuer, Scientific Games</w:t>
        </w:r>
      </w:hyperlink>
      <w:r>
        <w:rPr>
          <w:rFonts w:ascii="Arial" w:cs="Arial" w:eastAsia="Arial" w:hAnsi="Arial"/>
          <w:sz w:val="20"/>
          <w:szCs w:val="20"/>
          <w:u w:val="single" w:color="auto"/>
          <w:color w:val="0000FF"/>
        </w:rPr>
        <w:t xml:space="preserve"> </w:t>
      </w:r>
      <w:hyperlink r:id="rId241">
        <w:r>
          <w:rPr>
            <w:rFonts w:ascii="Arial" w:cs="Arial" w:eastAsia="Arial" w:hAnsi="Arial"/>
            <w:sz w:val="20"/>
            <w:szCs w:val="20"/>
            <w:u w:val="single" w:color="auto"/>
            <w:color w:val="0000FF"/>
          </w:rPr>
          <w:t>Corporation and the other guarantors party thereto, Deutsche Bank Trust Company Americas, as trustee, collateral agent,</w:t>
        </w:r>
      </w:hyperlink>
      <w:r>
        <w:rPr>
          <w:rFonts w:ascii="Arial" w:cs="Arial" w:eastAsia="Arial" w:hAnsi="Arial"/>
          <w:sz w:val="20"/>
          <w:szCs w:val="20"/>
          <w:u w:val="single" w:color="auto"/>
          <w:color w:val="0000FF"/>
        </w:rPr>
        <w:t xml:space="preserve"> </w:t>
      </w:r>
      <w:hyperlink r:id="rId241">
        <w:r>
          <w:rPr>
            <w:rFonts w:ascii="Arial" w:cs="Arial" w:eastAsia="Arial" w:hAnsi="Arial"/>
            <w:sz w:val="20"/>
            <w:szCs w:val="20"/>
            <w:u w:val="single" w:color="auto"/>
            <w:color w:val="0000FF"/>
          </w:rPr>
          <w:t>registrar and transfer agent, and Deutsche Bank AG, London Branch, as paying agent, relating to the 3.375% Senior Secured</w:t>
        </w:r>
      </w:hyperlink>
      <w:r>
        <w:rPr>
          <w:rFonts w:ascii="Arial" w:cs="Arial" w:eastAsia="Arial" w:hAnsi="Arial"/>
          <w:sz w:val="20"/>
          <w:szCs w:val="20"/>
          <w:u w:val="single" w:color="auto"/>
          <w:color w:val="0000FF"/>
        </w:rPr>
        <w:t xml:space="preserve"> </w:t>
      </w:r>
      <w:hyperlink r:id="rId241">
        <w:r>
          <w:rPr>
            <w:rFonts w:ascii="Arial" w:cs="Arial" w:eastAsia="Arial" w:hAnsi="Arial"/>
            <w:sz w:val="20"/>
            <w:szCs w:val="20"/>
            <w:u w:val="single" w:color="auto"/>
            <w:color w:val="0000FF"/>
          </w:rPr>
          <w:t>Notes due 2026 (incorporated by reference to Exhibit 4.2 to Scientific Games Corporation’s Current Report on Form 8-K</w:t>
        </w:r>
      </w:hyperlink>
      <w:r>
        <w:rPr>
          <w:rFonts w:ascii="Arial" w:cs="Arial" w:eastAsia="Arial" w:hAnsi="Arial"/>
          <w:sz w:val="20"/>
          <w:szCs w:val="20"/>
          <w:u w:val="single" w:color="auto"/>
          <w:color w:val="0000FF"/>
        </w:rPr>
        <w:t xml:space="preserve"> </w:t>
      </w:r>
      <w:hyperlink r:id="rId241">
        <w:r>
          <w:rPr>
            <w:rFonts w:ascii="Arial" w:cs="Arial" w:eastAsia="Arial" w:hAnsi="Arial"/>
            <w:sz w:val="20"/>
            <w:szCs w:val="20"/>
            <w:u w:val="single" w:color="auto"/>
            <w:color w:val="0000FF"/>
          </w:rPr>
          <w:t>filed on February 14, 2018).</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140" w:hanging="879"/>
        <w:spacing w:after="0" w:line="207"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4.30</w:t>
      </w:r>
      <w:r>
        <w:rPr>
          <w:sz w:val="20"/>
          <w:szCs w:val="20"/>
          <w:color w:val="auto"/>
        </w:rPr>
        <w:tab/>
      </w:r>
      <w:hyperlink r:id="rId243">
        <w:r>
          <w:rPr>
            <w:rFonts w:ascii="Arial" w:cs="Arial" w:eastAsia="Arial" w:hAnsi="Arial"/>
            <w:sz w:val="20"/>
            <w:szCs w:val="20"/>
            <w:u w:val="single" w:color="auto"/>
            <w:color w:val="0000FF"/>
          </w:rPr>
          <w:t>Supplemental Indenture, dated as of January 5, 2021, by and among Scientific Games International Inc., as issuer, SGI</w:t>
        </w:r>
      </w:hyperlink>
      <w:r>
        <w:rPr>
          <w:rFonts w:ascii="Arial" w:cs="Arial" w:eastAsia="Arial" w:hAnsi="Arial"/>
          <w:sz w:val="20"/>
          <w:szCs w:val="20"/>
          <w:u w:val="single" w:color="auto"/>
          <w:color w:val="0000FF"/>
        </w:rPr>
        <w:t xml:space="preserve"> </w:t>
      </w:r>
      <w:hyperlink r:id="rId243">
        <w:r>
          <w:rPr>
            <w:rFonts w:ascii="Arial" w:cs="Arial" w:eastAsia="Arial" w:hAnsi="Arial"/>
            <w:sz w:val="20"/>
            <w:szCs w:val="20"/>
            <w:u w:val="single" w:color="auto"/>
            <w:color w:val="0000FF"/>
          </w:rPr>
          <w:t>Lottery LLC and the other guarantors party thereto, Deutsche Bank Trust Company Americas, as trustee, collateral agent,</w:t>
        </w:r>
      </w:hyperlink>
      <w:r>
        <w:rPr>
          <w:rFonts w:ascii="Arial" w:cs="Arial" w:eastAsia="Arial" w:hAnsi="Arial"/>
          <w:sz w:val="20"/>
          <w:szCs w:val="20"/>
          <w:u w:val="single" w:color="auto"/>
          <w:color w:val="0000FF"/>
        </w:rPr>
        <w:t xml:space="preserve"> </w:t>
      </w:r>
      <w:hyperlink r:id="rId243">
        <w:r>
          <w:rPr>
            <w:rFonts w:ascii="Arial" w:cs="Arial" w:eastAsia="Arial" w:hAnsi="Arial"/>
            <w:sz w:val="20"/>
            <w:szCs w:val="20"/>
            <w:u w:val="single" w:color="auto"/>
            <w:color w:val="0000FF"/>
          </w:rPr>
          <w:t>registrar and transfer agent and Deutsche Bank AG, London Branch, as paying agent, relating to the Indenture, dated as of</w:t>
        </w:r>
      </w:hyperlink>
      <w:r>
        <w:rPr>
          <w:rFonts w:ascii="Arial" w:cs="Arial" w:eastAsia="Arial" w:hAnsi="Arial"/>
          <w:sz w:val="20"/>
          <w:szCs w:val="20"/>
          <w:u w:val="single" w:color="auto"/>
          <w:color w:val="0000FF"/>
        </w:rPr>
        <w:t xml:space="preserve"> </w:t>
      </w:r>
      <w:hyperlink r:id="rId243">
        <w:r>
          <w:rPr>
            <w:rFonts w:ascii="Arial" w:cs="Arial" w:eastAsia="Arial" w:hAnsi="Arial"/>
            <w:sz w:val="20"/>
            <w:szCs w:val="20"/>
            <w:u w:val="single" w:color="auto"/>
            <w:color w:val="0000FF"/>
          </w:rPr>
          <w:t>February 14, 2018, as amended and supplemented, relating to the 3.375% Senior Secured Notes due 2026 (incorporated by</w:t>
        </w:r>
      </w:hyperlink>
      <w:r>
        <w:rPr>
          <w:rFonts w:ascii="Arial" w:cs="Arial" w:eastAsia="Arial" w:hAnsi="Arial"/>
          <w:sz w:val="20"/>
          <w:szCs w:val="20"/>
          <w:u w:val="single" w:color="auto"/>
          <w:color w:val="0000FF"/>
        </w:rPr>
        <w:t xml:space="preserve"> </w:t>
      </w:r>
      <w:hyperlink r:id="rId243">
        <w:r>
          <w:rPr>
            <w:rFonts w:ascii="Arial" w:cs="Arial" w:eastAsia="Arial" w:hAnsi="Arial"/>
            <w:sz w:val="20"/>
            <w:szCs w:val="20"/>
            <w:u w:val="single" w:color="auto"/>
            <w:color w:val="0000FF"/>
          </w:rPr>
          <w:t>reference to Exhibit 4.30 to Scientific Games Corporation’s Annual Report on Form 10-K for the year ended December 31,</w:t>
        </w:r>
      </w:hyperlink>
      <w:r>
        <w:rPr>
          <w:rFonts w:ascii="Arial" w:cs="Arial" w:eastAsia="Arial" w:hAnsi="Arial"/>
          <w:sz w:val="20"/>
          <w:szCs w:val="20"/>
          <w:u w:val="single" w:color="auto"/>
          <w:color w:val="0000FF"/>
        </w:rPr>
        <w:t xml:space="preserve"> </w:t>
      </w:r>
      <w:hyperlink r:id="rId243">
        <w:r>
          <w:rPr>
            <w:rFonts w:ascii="Arial" w:cs="Arial" w:eastAsia="Arial" w:hAnsi="Arial"/>
            <w:sz w:val="20"/>
            <w:szCs w:val="20"/>
            <w:u w:val="single" w:color="auto"/>
            <w:color w:val="0000FF"/>
          </w:rPr>
          <w:t>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-753110</wp:posOffset>
            </wp:positionV>
            <wp:extent cx="7132320" cy="7543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4">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180" w:lineRule="exact"/>
        <w:rPr>
          <w:rFonts w:ascii="Arial" w:cs="Arial" w:eastAsia="Arial" w:hAnsi="Arial"/>
          <w:sz w:val="20"/>
          <w:szCs w:val="20"/>
          <w:u w:val="single" w:color="auto"/>
          <w:color w:val="0000FF"/>
        </w:rPr>
      </w:pPr>
    </w:p>
    <w:p>
      <w:pPr>
        <w:ind w:left="88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4.31</w:t>
      </w:r>
      <w:r>
        <w:rPr>
          <w:sz w:val="20"/>
          <w:szCs w:val="20"/>
          <w:color w:val="auto"/>
        </w:rPr>
        <w:tab/>
      </w:r>
      <w:hyperlink r:id="rId245">
        <w:r>
          <w:rPr>
            <w:rFonts w:ascii="Arial" w:cs="Arial" w:eastAsia="Arial" w:hAnsi="Arial"/>
            <w:sz w:val="20"/>
            <w:szCs w:val="20"/>
            <w:u w:val="single" w:color="auto"/>
            <w:color w:val="0000FF"/>
          </w:rPr>
          <w:t>Collateral Agreement, dated as of February 14, 2018, among Scientific Games International, Inc., Scientific Games</w:t>
        </w:r>
      </w:hyperlink>
      <w:r>
        <w:rPr>
          <w:rFonts w:ascii="Arial" w:cs="Arial" w:eastAsia="Arial" w:hAnsi="Arial"/>
          <w:sz w:val="20"/>
          <w:szCs w:val="20"/>
          <w:u w:val="single" w:color="auto"/>
          <w:color w:val="0000FF"/>
        </w:rPr>
        <w:t xml:space="preserve"> </w:t>
      </w:r>
      <w:hyperlink r:id="rId245">
        <w:r>
          <w:rPr>
            <w:rFonts w:ascii="Arial" w:cs="Arial" w:eastAsia="Arial" w:hAnsi="Arial"/>
            <w:sz w:val="20"/>
            <w:szCs w:val="20"/>
            <w:u w:val="single" w:color="auto"/>
            <w:color w:val="0000FF"/>
          </w:rPr>
          <w:t>Corporation and the other guarantors party thereto and Deutsche Bank Trust Company Americas, as collateral agent, relating</w:t>
        </w:r>
      </w:hyperlink>
      <w:r>
        <w:rPr>
          <w:rFonts w:ascii="Arial" w:cs="Arial" w:eastAsia="Arial" w:hAnsi="Arial"/>
          <w:sz w:val="20"/>
          <w:szCs w:val="20"/>
          <w:u w:val="single" w:color="auto"/>
          <w:color w:val="0000FF"/>
        </w:rPr>
        <w:t xml:space="preserve"> </w:t>
      </w:r>
      <w:hyperlink r:id="rId245">
        <w:r>
          <w:rPr>
            <w:rFonts w:ascii="Arial" w:cs="Arial" w:eastAsia="Arial" w:hAnsi="Arial"/>
            <w:sz w:val="20"/>
            <w:szCs w:val="20"/>
            <w:u w:val="single" w:color="auto"/>
            <w:color w:val="0000FF"/>
          </w:rPr>
          <w:t>to the 3.375% Senior Secured Notes due 2026 (incorporated by reference to Exhibit 4.3 to Scientific Games Corporation's</w:t>
        </w:r>
      </w:hyperlink>
      <w:r>
        <w:rPr>
          <w:rFonts w:ascii="Arial" w:cs="Arial" w:eastAsia="Arial" w:hAnsi="Arial"/>
          <w:sz w:val="20"/>
          <w:szCs w:val="20"/>
          <w:u w:val="single" w:color="auto"/>
          <w:color w:val="0000FF"/>
        </w:rPr>
        <w:t xml:space="preserve"> </w:t>
      </w:r>
      <w:hyperlink r:id="rId245">
        <w:r>
          <w:rPr>
            <w:rFonts w:ascii="Arial" w:cs="Arial" w:eastAsia="Arial" w:hAnsi="Arial"/>
            <w:sz w:val="20"/>
            <w:szCs w:val="20"/>
            <w:u w:val="single" w:color="auto"/>
            <w:color w:val="0000FF"/>
          </w:rPr>
          <w:t>Current Report on Form 8-K filed on February 14, 2018).</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80" w:hanging="879"/>
        <w:spacing w:after="0" w:line="268" w:lineRule="auto"/>
        <w:tabs>
          <w:tab w:leader="none" w:pos="860" w:val="left"/>
        </w:tabs>
        <w:rPr>
          <w:rFonts w:ascii="Arial" w:cs="Arial" w:eastAsia="Arial" w:hAnsi="Arial"/>
          <w:sz w:val="16"/>
          <w:szCs w:val="16"/>
          <w:u w:val="single" w:color="auto"/>
          <w:color w:val="0000FF"/>
        </w:rPr>
      </w:pPr>
      <w:r>
        <w:rPr>
          <w:rFonts w:ascii="Arial" w:cs="Arial" w:eastAsia="Arial" w:hAnsi="Arial"/>
          <w:sz w:val="20"/>
          <w:szCs w:val="20"/>
          <w:color w:val="auto"/>
        </w:rPr>
        <w:t>4.32</w:t>
      </w:r>
      <w:r>
        <w:rPr>
          <w:sz w:val="20"/>
          <w:szCs w:val="20"/>
          <w:color w:val="auto"/>
        </w:rPr>
        <w:tab/>
      </w:r>
      <w:hyperlink r:id="rId247">
        <w:r>
          <w:rPr>
            <w:rFonts w:ascii="Arial" w:cs="Arial" w:eastAsia="Arial" w:hAnsi="Arial"/>
            <w:sz w:val="16"/>
            <w:szCs w:val="16"/>
            <w:u w:val="single" w:color="auto"/>
            <w:color w:val="0000FF"/>
          </w:rPr>
          <w:t>Supplemental Indenture, dated as of November 1, 2018, by and among Scientific Games International, Inc., as issuer,</w:t>
        </w:r>
      </w:hyperlink>
      <w:r>
        <w:rPr>
          <w:rFonts w:ascii="Arial" w:cs="Arial" w:eastAsia="Arial" w:hAnsi="Arial"/>
          <w:sz w:val="16"/>
          <w:szCs w:val="16"/>
          <w:u w:val="single" w:color="auto"/>
          <w:color w:val="0000FF"/>
        </w:rPr>
        <w:t xml:space="preserve"> </w:t>
      </w:r>
      <w:hyperlink r:id="rId247">
        <w:r>
          <w:rPr>
            <w:rFonts w:ascii="Arial" w:cs="Arial" w:eastAsia="Arial" w:hAnsi="Arial"/>
            <w:sz w:val="16"/>
            <w:szCs w:val="16"/>
            <w:u w:val="single" w:color="auto"/>
            <w:color w:val="0000FF"/>
          </w:rPr>
          <w:t>Scientific Games Corporation, Don Best Sports Corporation and the other guarantors party thereto, and Deutsche Bank Trust</w:t>
        </w:r>
      </w:hyperlink>
      <w:r>
        <w:rPr>
          <w:rFonts w:ascii="Arial" w:cs="Arial" w:eastAsia="Arial" w:hAnsi="Arial"/>
          <w:sz w:val="16"/>
          <w:szCs w:val="16"/>
          <w:u w:val="single" w:color="auto"/>
          <w:color w:val="0000FF"/>
        </w:rPr>
        <w:t xml:space="preserve"> </w:t>
      </w:r>
      <w:hyperlink r:id="rId247">
        <w:r>
          <w:rPr>
            <w:rFonts w:ascii="Arial" w:cs="Arial" w:eastAsia="Arial" w:hAnsi="Arial"/>
            <w:sz w:val="16"/>
            <w:szCs w:val="16"/>
            <w:u w:val="single" w:color="auto"/>
            <w:color w:val="0000FF"/>
          </w:rPr>
          <w:t>Company Americas, as trustee, collateral agent, registrar and transfer agent, relating to the Indenture, dated as of February</w:t>
        </w:r>
      </w:hyperlink>
      <w:r>
        <w:rPr>
          <w:rFonts w:ascii="Arial" w:cs="Arial" w:eastAsia="Arial" w:hAnsi="Arial"/>
          <w:sz w:val="16"/>
          <w:szCs w:val="16"/>
          <w:u w:val="single" w:color="auto"/>
          <w:color w:val="0000FF"/>
        </w:rPr>
        <w:t xml:space="preserve"> </w:t>
      </w:r>
      <w:hyperlink r:id="rId247">
        <w:r>
          <w:rPr>
            <w:rFonts w:ascii="Arial" w:cs="Arial" w:eastAsia="Arial" w:hAnsi="Arial"/>
            <w:sz w:val="16"/>
            <w:szCs w:val="16"/>
            <w:u w:val="single" w:color="auto"/>
            <w:color w:val="0000FF"/>
          </w:rPr>
          <w:t>14, 2018, as amended and supplemented, relating to the 3.375% Senior Secured Notes due 2026 (incorporated by reference</w:t>
        </w:r>
      </w:hyperlink>
      <w:r>
        <w:rPr>
          <w:rFonts w:ascii="Arial" w:cs="Arial" w:eastAsia="Arial" w:hAnsi="Arial"/>
          <w:sz w:val="16"/>
          <w:szCs w:val="16"/>
          <w:u w:val="single" w:color="auto"/>
          <w:color w:val="0000FF"/>
        </w:rPr>
        <w:t xml:space="preserve"> </w:t>
      </w:r>
      <w:hyperlink r:id="rId247">
        <w:r>
          <w:rPr>
            <w:rFonts w:ascii="Arial" w:cs="Arial" w:eastAsia="Arial" w:hAnsi="Arial"/>
            <w:sz w:val="16"/>
            <w:szCs w:val="16"/>
            <w:u w:val="single" w:color="auto"/>
            <w:color w:val="0000FF"/>
          </w:rPr>
          <w:t>to Exhibit 4.45 to Scientific Games Corporation’s Annual Report on Form 10-K for the year ended December 31, 2018).</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-649605</wp:posOffset>
            </wp:positionV>
            <wp:extent cx="7132320" cy="6343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8">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45" w:lineRule="exact"/>
        <w:rPr>
          <w:rFonts w:ascii="Arial" w:cs="Arial" w:eastAsia="Arial" w:hAnsi="Arial"/>
          <w:sz w:val="16"/>
          <w:szCs w:val="16"/>
          <w:u w:val="single" w:color="auto"/>
          <w:color w:val="0000FF"/>
        </w:rPr>
      </w:pPr>
    </w:p>
    <w:p>
      <w:pPr>
        <w:jc w:val="center"/>
        <w:ind w:right="380"/>
        <w:spacing w:after="0"/>
        <w:rPr>
          <w:sz w:val="20"/>
          <w:szCs w:val="20"/>
          <w:color w:val="auto"/>
        </w:rPr>
      </w:pPr>
      <w:r>
        <w:rPr>
          <w:rFonts w:ascii="Arial" w:cs="Arial" w:eastAsia="Arial" w:hAnsi="Arial"/>
          <w:sz w:val="18"/>
          <w:szCs w:val="18"/>
          <w:color w:val="auto"/>
        </w:rPr>
        <w:t>136</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40" w:top="933" w:right="379" w:bottom="1440" w:gutter="0" w:footer="0" w:header="0"/>
        </w:sectPr>
      </w:pPr>
    </w:p>
    <w:bookmarkStart w:id="136" w:name="page137"/>
    <w:bookmarkEnd w:id="136"/>
    <w:p>
      <w:pPr>
        <w:ind w:left="880" w:right="20" w:hanging="879"/>
        <w:spacing w:after="0" w:line="233" w:lineRule="auto"/>
        <w:tabs>
          <w:tab w:leader="none" w:pos="860" w:val="left"/>
        </w:tabs>
        <w:rPr>
          <w:rFonts w:ascii="Arial" w:cs="Arial" w:eastAsia="Arial" w:hAnsi="Arial"/>
          <w:sz w:val="18"/>
          <w:szCs w:val="18"/>
          <w:u w:val="single" w:color="auto"/>
          <w:color w:val="0000FF"/>
        </w:rPr>
      </w:pPr>
      <w:r>
        <w:rPr>
          <w:rFonts w:ascii="Arial" w:cs="Arial" w:eastAsia="Arial" w:hAnsi="Arial"/>
          <w:sz w:val="20"/>
          <w:szCs w:val="20"/>
          <w:color w:val="auto"/>
        </w:rPr>
        <w:t>4.33</w:t>
      </w:r>
      <w:r>
        <w:rPr>
          <w:sz w:val="20"/>
          <w:szCs w:val="20"/>
          <w:color w:val="auto"/>
        </w:rPr>
        <w:tab/>
      </w:r>
      <w:hyperlink r:id="rId250">
        <w:r>
          <w:rPr>
            <w:rFonts w:ascii="Arial" w:cs="Arial" w:eastAsia="Arial" w:hAnsi="Arial"/>
            <w:sz w:val="18"/>
            <w:szCs w:val="18"/>
            <w:u w:val="single" w:color="auto"/>
            <w:color w:val="0000FF"/>
          </w:rPr>
          <w:t>Supplemental Indenture, dated as of January 23, 2020, by and among Scientific Games International, Inc., as issuer,</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Scientific Games Corporation, NYX Digital Gaming (USA), LLC and the other guarantors party thereto, and Deutsche Bank</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Trust Company Americas, as trustee, collateral agent, registrar and transfer agent, relating to the Indenture, dated as of</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February 14, 2018, as amended and supplemented, relating to the 3.375% Senior Secured Notes due 2026 (incorporated by</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reference to Exhibit 4.40 to Scientific Games Corporation’s Annual Report on Form 10-K filed on February 18,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-635000</wp:posOffset>
            </wp:positionV>
            <wp:extent cx="7132320" cy="6343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7" w:lineRule="exact"/>
        <w:rPr>
          <w:rFonts w:ascii="Arial" w:cs="Arial" w:eastAsia="Arial" w:hAnsi="Arial"/>
          <w:sz w:val="18"/>
          <w:szCs w:val="18"/>
          <w:u w:val="single" w:color="auto"/>
          <w:color w:val="0000FF"/>
        </w:rPr>
      </w:pPr>
    </w:p>
    <w:p>
      <w:pPr>
        <w:ind w:left="880" w:hanging="879"/>
        <w:spacing w:after="0" w:line="236" w:lineRule="auto"/>
        <w:tabs>
          <w:tab w:leader="none" w:pos="860" w:val="left"/>
        </w:tabs>
        <w:rPr>
          <w:rFonts w:ascii="Arial" w:cs="Arial" w:eastAsia="Arial" w:hAnsi="Arial"/>
          <w:sz w:val="18"/>
          <w:szCs w:val="18"/>
          <w:u w:val="single" w:color="auto"/>
          <w:color w:val="0000FF"/>
        </w:rPr>
      </w:pPr>
      <w:r>
        <w:rPr>
          <w:rFonts w:ascii="Arial" w:cs="Arial" w:eastAsia="Arial" w:hAnsi="Arial"/>
          <w:sz w:val="20"/>
          <w:szCs w:val="20"/>
          <w:color w:val="auto"/>
        </w:rPr>
        <w:t>4.34</w:t>
      </w:r>
      <w:r>
        <w:rPr>
          <w:sz w:val="20"/>
          <w:szCs w:val="20"/>
          <w:color w:val="auto"/>
        </w:rPr>
        <w:tab/>
      </w:r>
      <w:hyperlink r:id="rId252">
        <w:r>
          <w:rPr>
            <w:rFonts w:ascii="Arial" w:cs="Arial" w:eastAsia="Arial" w:hAnsi="Arial"/>
            <w:sz w:val="18"/>
            <w:szCs w:val="18"/>
            <w:u w:val="single" w:color="auto"/>
            <w:color w:val="0000FF"/>
          </w:rPr>
          <w:t>Indenture, dated as of February 14, 2018, among Scientific Games International, Inc., as issuer, Scientific Games</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Corporation and the other guarantors party thereto, Deutsche Bank Trust Company Americas, as trustee, and Deutsche Bank</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AG, London Branch, as paying agent, relating to the 5.500% Senior Unsecured Notes due 2026 (incorporated by reference to</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Exhibit 4.4 to Scientific Games Corporation's Current Report on Form 8-K filed on February 14,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-514350</wp:posOffset>
            </wp:positionV>
            <wp:extent cx="7132320" cy="514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8" w:lineRule="exact"/>
        <w:rPr>
          <w:rFonts w:ascii="Arial" w:cs="Arial" w:eastAsia="Arial" w:hAnsi="Arial"/>
          <w:sz w:val="18"/>
          <w:szCs w:val="18"/>
          <w:u w:val="single" w:color="auto"/>
          <w:color w:val="0000FF"/>
        </w:rPr>
      </w:pPr>
    </w:p>
    <w:p>
      <w:pPr>
        <w:ind w:left="880" w:right="20" w:hanging="879"/>
        <w:spacing w:after="0" w:line="233" w:lineRule="auto"/>
        <w:tabs>
          <w:tab w:leader="none" w:pos="860" w:val="left"/>
        </w:tabs>
        <w:rPr>
          <w:rFonts w:ascii="Arial" w:cs="Arial" w:eastAsia="Arial" w:hAnsi="Arial"/>
          <w:sz w:val="18"/>
          <w:szCs w:val="18"/>
          <w:u w:val="single" w:color="auto"/>
          <w:color w:val="0000FF"/>
        </w:rPr>
      </w:pPr>
      <w:r>
        <w:rPr>
          <w:rFonts w:ascii="Arial" w:cs="Arial" w:eastAsia="Arial" w:hAnsi="Arial"/>
          <w:sz w:val="20"/>
          <w:szCs w:val="20"/>
          <w:color w:val="auto"/>
        </w:rPr>
        <w:t>4.35</w:t>
      </w:r>
      <w:r>
        <w:rPr>
          <w:sz w:val="20"/>
          <w:szCs w:val="20"/>
          <w:color w:val="auto"/>
        </w:rPr>
        <w:tab/>
      </w:r>
      <w:hyperlink r:id="rId254">
        <w:r>
          <w:rPr>
            <w:rFonts w:ascii="Arial" w:cs="Arial" w:eastAsia="Arial" w:hAnsi="Arial"/>
            <w:sz w:val="18"/>
            <w:szCs w:val="18"/>
            <w:u w:val="single" w:color="auto"/>
            <w:color w:val="0000FF"/>
          </w:rPr>
          <w:t>Supplemental Indenture, dated as of November 1, 2018, by and among Scientific Games International, Inc., as issuer,</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Scientific Games Corporation, Don Best Sports Corporation and the other guarantors party thereto, and Deutsche Bank Trust</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Company Americas, as trustee, registrar and transfer agent, relating to the Indenture, dated as of February 14, 2018, as</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amended and supplemented, relating to the 5.500% Senior Unsecured Notes due 2026 (incorporated by reference to Exhibit</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4.47 to Scientific Games Corporation’s Annual Report on Form 10-K for the year ended December 31,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-635000</wp:posOffset>
            </wp:positionV>
            <wp:extent cx="7132320" cy="6343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7" w:lineRule="exact"/>
        <w:rPr>
          <w:rFonts w:ascii="Arial" w:cs="Arial" w:eastAsia="Arial" w:hAnsi="Arial"/>
          <w:sz w:val="18"/>
          <w:szCs w:val="18"/>
          <w:u w:val="single" w:color="auto"/>
          <w:color w:val="0000FF"/>
        </w:rPr>
      </w:pPr>
    </w:p>
    <w:p>
      <w:pPr>
        <w:ind w:left="880" w:right="20" w:hanging="879"/>
        <w:spacing w:after="0" w:line="233" w:lineRule="auto"/>
        <w:tabs>
          <w:tab w:leader="none" w:pos="860" w:val="left"/>
        </w:tabs>
        <w:rPr>
          <w:rFonts w:ascii="Arial" w:cs="Arial" w:eastAsia="Arial" w:hAnsi="Arial"/>
          <w:sz w:val="18"/>
          <w:szCs w:val="18"/>
          <w:u w:val="single" w:color="auto"/>
          <w:color w:val="0000FF"/>
        </w:rPr>
      </w:pPr>
      <w:r>
        <w:rPr>
          <w:rFonts w:ascii="Arial" w:cs="Arial" w:eastAsia="Arial" w:hAnsi="Arial"/>
          <w:sz w:val="20"/>
          <w:szCs w:val="20"/>
          <w:color w:val="auto"/>
        </w:rPr>
        <w:t>4.36</w:t>
      </w:r>
      <w:r>
        <w:rPr>
          <w:sz w:val="20"/>
          <w:szCs w:val="20"/>
          <w:color w:val="auto"/>
        </w:rPr>
        <w:tab/>
      </w:r>
      <w:hyperlink r:id="rId256">
        <w:r>
          <w:rPr>
            <w:rFonts w:ascii="Arial" w:cs="Arial" w:eastAsia="Arial" w:hAnsi="Arial"/>
            <w:sz w:val="18"/>
            <w:szCs w:val="18"/>
            <w:u w:val="single" w:color="auto"/>
            <w:color w:val="0000FF"/>
          </w:rPr>
          <w:t>Supplemental Indenture, dated as of January 23, 2020, by and among Scientific Games International, Inc., as issuer,</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Scientific Games Corporation, NYX Digital Gaming (USA), LLC and the other guarantors party thereto, and Deutsche Bank</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Trust Company Americas, as trustee, registrar and transfer agent, relating to the Indenture, dated as of February 14, 2018, as</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amended and supplemented, relating to the 5.500% Senior Unsecured Notes due 2026 (incorporated by reference to Exhibit</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4.43 to Scientific Games Corporation’s Annual Report on Form 10-K filed on February 18,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-635000</wp:posOffset>
            </wp:positionV>
            <wp:extent cx="7132320" cy="6343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7">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7" w:lineRule="exact"/>
        <w:rPr>
          <w:rFonts w:ascii="Arial" w:cs="Arial" w:eastAsia="Arial" w:hAnsi="Arial"/>
          <w:sz w:val="18"/>
          <w:szCs w:val="18"/>
          <w:u w:val="single" w:color="auto"/>
          <w:color w:val="0000FF"/>
        </w:rPr>
      </w:pPr>
    </w:p>
    <w:p>
      <w:pPr>
        <w:ind w:left="880" w:right="220" w:hanging="879"/>
        <w:spacing w:after="0" w:line="253" w:lineRule="auto"/>
        <w:tabs>
          <w:tab w:leader="none" w:pos="860" w:val="left"/>
        </w:tabs>
        <w:rPr>
          <w:rFonts w:ascii="Arial" w:cs="Arial" w:eastAsia="Arial" w:hAnsi="Arial"/>
          <w:sz w:val="16"/>
          <w:szCs w:val="16"/>
          <w:u w:val="single" w:color="auto"/>
          <w:color w:val="0000FF"/>
        </w:rPr>
      </w:pPr>
      <w:r>
        <w:rPr>
          <w:rFonts w:ascii="Arial" w:cs="Arial" w:eastAsia="Arial" w:hAnsi="Arial"/>
          <w:sz w:val="20"/>
          <w:szCs w:val="20"/>
          <w:color w:val="auto"/>
        </w:rPr>
        <w:t>4.37</w:t>
      </w:r>
      <w:r>
        <w:rPr>
          <w:sz w:val="20"/>
          <w:szCs w:val="20"/>
          <w:color w:val="auto"/>
        </w:rPr>
        <w:tab/>
      </w:r>
      <w:hyperlink r:id="rId258">
        <w:r>
          <w:rPr>
            <w:rFonts w:ascii="Arial" w:cs="Arial" w:eastAsia="Arial" w:hAnsi="Arial"/>
            <w:sz w:val="16"/>
            <w:szCs w:val="16"/>
            <w:u w:val="single" w:color="auto"/>
            <w:color w:val="0000FF"/>
          </w:rPr>
          <w:t>Supplemental Indenture, dated as of January 5, 2021, by and among Scientific Games International Inc., as issuer, SGI</w:t>
        </w:r>
      </w:hyperlink>
      <w:r>
        <w:rPr>
          <w:rFonts w:ascii="Arial" w:cs="Arial" w:eastAsia="Arial" w:hAnsi="Arial"/>
          <w:sz w:val="16"/>
          <w:szCs w:val="16"/>
          <w:u w:val="single" w:color="auto"/>
          <w:color w:val="0000FF"/>
        </w:rPr>
        <w:t xml:space="preserve"> </w:t>
      </w:r>
      <w:hyperlink r:id="rId258">
        <w:r>
          <w:rPr>
            <w:rFonts w:ascii="Arial" w:cs="Arial" w:eastAsia="Arial" w:hAnsi="Arial"/>
            <w:sz w:val="16"/>
            <w:szCs w:val="16"/>
            <w:u w:val="single" w:color="auto"/>
            <w:color w:val="0000FF"/>
          </w:rPr>
          <w:t>Lottery LLC and the other guarantors party thereto, and Deutsche Bank Trust Company Americas, as trustee, registrar and</w:t>
        </w:r>
      </w:hyperlink>
      <w:r>
        <w:rPr>
          <w:rFonts w:ascii="Arial" w:cs="Arial" w:eastAsia="Arial" w:hAnsi="Arial"/>
          <w:sz w:val="16"/>
          <w:szCs w:val="16"/>
          <w:u w:val="single" w:color="auto"/>
          <w:color w:val="0000FF"/>
        </w:rPr>
        <w:t xml:space="preserve"> </w:t>
      </w:r>
      <w:hyperlink r:id="rId258">
        <w:r>
          <w:rPr>
            <w:rFonts w:ascii="Arial" w:cs="Arial" w:eastAsia="Arial" w:hAnsi="Arial"/>
            <w:sz w:val="16"/>
            <w:szCs w:val="16"/>
            <w:u w:val="single" w:color="auto"/>
            <w:color w:val="0000FF"/>
          </w:rPr>
          <w:t>transfer agent. relating to the Indenture, dated as of February 14, 2018, as amended and supplemented, relating to the</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-367030</wp:posOffset>
            </wp:positionV>
            <wp:extent cx="7132320" cy="6343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9">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ind w:left="880" w:right="420"/>
        <w:spacing w:after="0" w:line="220" w:lineRule="auto"/>
        <w:rPr>
          <w:rFonts w:ascii="Arial" w:cs="Arial" w:eastAsia="Arial" w:hAnsi="Arial"/>
          <w:sz w:val="20"/>
          <w:szCs w:val="20"/>
          <w:u w:val="single" w:color="auto"/>
          <w:color w:val="0000FF"/>
        </w:rPr>
      </w:pPr>
      <w:hyperlink r:id="rId258">
        <w:r>
          <w:rPr>
            <w:rFonts w:ascii="Arial" w:cs="Arial" w:eastAsia="Arial" w:hAnsi="Arial"/>
            <w:sz w:val="20"/>
            <w:szCs w:val="20"/>
            <w:u w:val="single" w:color="auto"/>
            <w:color w:val="0000FF"/>
          </w:rPr>
          <w:t>5.500% Senior Unsecured Notes due 2026 (incorporated by reference to Exhibit 4.37 to Scientific Games Corporation’s</w:t>
        </w:r>
      </w:hyperlink>
      <w:r>
        <w:rPr>
          <w:rFonts w:ascii="Arial" w:cs="Arial" w:eastAsia="Arial" w:hAnsi="Arial"/>
          <w:sz w:val="20"/>
          <w:szCs w:val="20"/>
          <w:u w:val="single" w:color="auto"/>
          <w:color w:val="0000FF"/>
        </w:rPr>
        <w:t xml:space="preserve"> </w:t>
      </w:r>
      <w:hyperlink r:id="rId258">
        <w:r>
          <w:rPr>
            <w:rFonts w:ascii="Arial" w:cs="Arial" w:eastAsia="Arial" w:hAnsi="Arial"/>
            <w:sz w:val="20"/>
            <w:szCs w:val="20"/>
            <w:u w:val="single" w:color="auto"/>
            <w:color w:val="0000FF"/>
          </w:rPr>
          <w:t>Annual Report on Form 10-K for the year ended December 31, 2020).</w:t>
        </w:r>
      </w:hyperlink>
    </w:p>
    <w:p>
      <w:pPr>
        <w:spacing w:after="0" w:line="197" w:lineRule="exact"/>
        <w:rPr>
          <w:sz w:val="20"/>
          <w:szCs w:val="20"/>
          <w:color w:val="auto"/>
        </w:rPr>
      </w:pPr>
    </w:p>
    <w:p>
      <w:pPr>
        <w:ind w:left="880" w:right="16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4.38</w:t>
      </w:r>
      <w:r>
        <w:rPr>
          <w:sz w:val="20"/>
          <w:szCs w:val="20"/>
          <w:color w:val="auto"/>
        </w:rPr>
        <w:tab/>
      </w:r>
      <w:hyperlink r:id="rId260">
        <w:r>
          <w:rPr>
            <w:rFonts w:ascii="Arial" w:cs="Arial" w:eastAsia="Arial" w:hAnsi="Arial"/>
            <w:sz w:val="20"/>
            <w:szCs w:val="20"/>
            <w:u w:val="single" w:color="auto"/>
            <w:color w:val="0000FF"/>
          </w:rPr>
          <w:t>Indenture, dated as of March 19, 2019, among Scientific Games International, Inc., as issuer, Scientific Games Corporation</w:t>
        </w:r>
      </w:hyperlink>
      <w:r>
        <w:rPr>
          <w:rFonts w:ascii="Arial" w:cs="Arial" w:eastAsia="Arial" w:hAnsi="Arial"/>
          <w:sz w:val="20"/>
          <w:szCs w:val="20"/>
          <w:u w:val="single" w:color="auto"/>
          <w:color w:val="0000FF"/>
        </w:rPr>
        <w:t xml:space="preserve"> </w:t>
      </w:r>
      <w:hyperlink r:id="rId260">
        <w:r>
          <w:rPr>
            <w:rFonts w:ascii="Arial" w:cs="Arial" w:eastAsia="Arial" w:hAnsi="Arial"/>
            <w:sz w:val="20"/>
            <w:szCs w:val="20"/>
            <w:u w:val="single" w:color="auto"/>
            <w:color w:val="0000FF"/>
          </w:rPr>
          <w:t>and the other guarantors party thereto, and Deutsche Bank Trust Company Americas, as trustee, relating to the 8.250%</w:t>
        </w:r>
      </w:hyperlink>
      <w:r>
        <w:rPr>
          <w:rFonts w:ascii="Arial" w:cs="Arial" w:eastAsia="Arial" w:hAnsi="Arial"/>
          <w:sz w:val="20"/>
          <w:szCs w:val="20"/>
          <w:u w:val="single" w:color="auto"/>
          <w:color w:val="0000FF"/>
        </w:rPr>
        <w:t xml:space="preserve"> </w:t>
      </w:r>
      <w:hyperlink r:id="rId260">
        <w:r>
          <w:rPr>
            <w:rFonts w:ascii="Arial" w:cs="Arial" w:eastAsia="Arial" w:hAnsi="Arial"/>
            <w:sz w:val="20"/>
            <w:szCs w:val="20"/>
            <w:u w:val="single" w:color="auto"/>
            <w:color w:val="0000FF"/>
          </w:rPr>
          <w:t>Senior Unsecured Notes due 2026 (incorporated by reference to Exhibit 4.1 to Scientific Games Corporation’s Current</w:t>
        </w:r>
      </w:hyperlink>
      <w:r>
        <w:rPr>
          <w:rFonts w:ascii="Arial" w:cs="Arial" w:eastAsia="Arial" w:hAnsi="Arial"/>
          <w:sz w:val="20"/>
          <w:szCs w:val="20"/>
          <w:u w:val="single" w:color="auto"/>
          <w:color w:val="0000FF"/>
        </w:rPr>
        <w:t xml:space="preserve"> </w:t>
      </w:r>
      <w:hyperlink r:id="rId260">
        <w:r>
          <w:rPr>
            <w:rFonts w:ascii="Arial" w:cs="Arial" w:eastAsia="Arial" w:hAnsi="Arial"/>
            <w:sz w:val="20"/>
            <w:szCs w:val="20"/>
            <w:u w:val="single" w:color="auto"/>
            <w:color w:val="0000FF"/>
          </w:rPr>
          <w:t>Report on Form 8-K filed on March 19, 2019).</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1">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80" w:right="20" w:hanging="879"/>
        <w:spacing w:after="0" w:line="221" w:lineRule="auto"/>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4.39</w:t>
      </w:r>
      <w:r>
        <w:rPr>
          <w:sz w:val="20"/>
          <w:szCs w:val="20"/>
          <w:color w:val="auto"/>
        </w:rPr>
        <w:tab/>
      </w:r>
      <w:hyperlink r:id="rId262">
        <w:r>
          <w:rPr>
            <w:rFonts w:ascii="Arial" w:cs="Arial" w:eastAsia="Arial" w:hAnsi="Arial"/>
            <w:sz w:val="19"/>
            <w:szCs w:val="19"/>
            <w:u w:val="single" w:color="auto"/>
            <w:color w:val="0000FF"/>
          </w:rPr>
          <w:t>Supplemental Indenture, dated as of January 23, 2020, by and among Scientific Games International, Inc. as issuer,</w:t>
        </w:r>
      </w:hyperlink>
      <w:r>
        <w:rPr>
          <w:rFonts w:ascii="Arial" w:cs="Arial" w:eastAsia="Arial" w:hAnsi="Arial"/>
          <w:sz w:val="19"/>
          <w:szCs w:val="19"/>
          <w:u w:val="single" w:color="auto"/>
          <w:color w:val="0000FF"/>
        </w:rPr>
        <w:t xml:space="preserve"> </w:t>
      </w:r>
      <w:hyperlink r:id="rId262">
        <w:r>
          <w:rPr>
            <w:rFonts w:ascii="Arial" w:cs="Arial" w:eastAsia="Arial" w:hAnsi="Arial"/>
            <w:sz w:val="19"/>
            <w:szCs w:val="19"/>
            <w:u w:val="single" w:color="auto"/>
            <w:color w:val="0000FF"/>
          </w:rPr>
          <w:t>Scientific Games Corporation, NYX Digital Gaming (USA), LLC and the other guarantors party thereto, and Deutsche Bank</w:t>
        </w:r>
      </w:hyperlink>
      <w:r>
        <w:rPr>
          <w:rFonts w:ascii="Arial" w:cs="Arial" w:eastAsia="Arial" w:hAnsi="Arial"/>
          <w:sz w:val="19"/>
          <w:szCs w:val="19"/>
          <w:u w:val="single" w:color="auto"/>
          <w:color w:val="0000FF"/>
        </w:rPr>
        <w:t xml:space="preserve"> </w:t>
      </w:r>
      <w:hyperlink r:id="rId262">
        <w:r>
          <w:rPr>
            <w:rFonts w:ascii="Arial" w:cs="Arial" w:eastAsia="Arial" w:hAnsi="Arial"/>
            <w:sz w:val="19"/>
            <w:szCs w:val="19"/>
            <w:u w:val="single" w:color="auto"/>
            <w:color w:val="0000FF"/>
          </w:rPr>
          <w:t>Trust Company Americas, as trustee, relating to the Indenture, dated as of March 19, 2019, as amended and supplemented,</w:t>
        </w:r>
      </w:hyperlink>
      <w:r>
        <w:rPr>
          <w:rFonts w:ascii="Arial" w:cs="Arial" w:eastAsia="Arial" w:hAnsi="Arial"/>
          <w:sz w:val="19"/>
          <w:szCs w:val="19"/>
          <w:u w:val="single" w:color="auto"/>
          <w:color w:val="0000FF"/>
        </w:rPr>
        <w:t xml:space="preserve"> </w:t>
      </w:r>
      <w:hyperlink r:id="rId262">
        <w:r>
          <w:rPr>
            <w:rFonts w:ascii="Arial" w:cs="Arial" w:eastAsia="Arial" w:hAnsi="Arial"/>
            <w:sz w:val="19"/>
            <w:szCs w:val="19"/>
            <w:u w:val="single" w:color="auto"/>
            <w:color w:val="0000FF"/>
          </w:rPr>
          <w:t>relating to the 8.250% Senior Unsecured Notes due 2026 ( incorporated by reference to Exhibit 4.45 to Scientific Games</w:t>
        </w:r>
      </w:hyperlink>
      <w:r>
        <w:rPr>
          <w:rFonts w:ascii="Arial" w:cs="Arial" w:eastAsia="Arial" w:hAnsi="Arial"/>
          <w:sz w:val="19"/>
          <w:szCs w:val="19"/>
          <w:u w:val="single" w:color="auto"/>
          <w:color w:val="0000FF"/>
        </w:rPr>
        <w:t xml:space="preserve"> </w:t>
      </w:r>
      <w:hyperlink r:id="rId262">
        <w:r>
          <w:rPr>
            <w:rFonts w:ascii="Arial" w:cs="Arial" w:eastAsia="Arial" w:hAnsi="Arial"/>
            <w:sz w:val="19"/>
            <w:szCs w:val="19"/>
            <w:u w:val="single" w:color="auto"/>
            <w:color w:val="0000FF"/>
          </w:rPr>
          <w:t>Corporation’s Annual Report on Form 10-K filed on February 18, 2020).</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3">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6" w:lineRule="exact"/>
        <w:rPr>
          <w:rFonts w:ascii="Arial" w:cs="Arial" w:eastAsia="Arial" w:hAnsi="Arial"/>
          <w:sz w:val="19"/>
          <w:szCs w:val="19"/>
          <w:u w:val="single" w:color="auto"/>
          <w:color w:val="0000FF"/>
        </w:rPr>
      </w:pPr>
    </w:p>
    <w:p>
      <w:pPr>
        <w:ind w:left="880" w:right="2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4.40</w:t>
      </w:r>
      <w:r>
        <w:rPr>
          <w:sz w:val="20"/>
          <w:szCs w:val="20"/>
          <w:color w:val="auto"/>
        </w:rPr>
        <w:tab/>
      </w:r>
      <w:hyperlink r:id="rId264">
        <w:r>
          <w:rPr>
            <w:rFonts w:ascii="Arial" w:cs="Arial" w:eastAsia="Arial" w:hAnsi="Arial"/>
            <w:sz w:val="20"/>
            <w:szCs w:val="20"/>
            <w:u w:val="single" w:color="auto"/>
            <w:color w:val="0000FF"/>
          </w:rPr>
          <w:t>Supplemental Indenture, dated as of January 5, 2021, by and among Scientific Games International, Inc., as issuer, SGI</w:t>
        </w:r>
      </w:hyperlink>
      <w:r>
        <w:rPr>
          <w:rFonts w:ascii="Arial" w:cs="Arial" w:eastAsia="Arial" w:hAnsi="Arial"/>
          <w:sz w:val="20"/>
          <w:szCs w:val="20"/>
          <w:u w:val="single" w:color="auto"/>
          <w:color w:val="0000FF"/>
        </w:rPr>
        <w:t xml:space="preserve"> </w:t>
      </w:r>
      <w:hyperlink r:id="rId264">
        <w:r>
          <w:rPr>
            <w:rFonts w:ascii="Arial" w:cs="Arial" w:eastAsia="Arial" w:hAnsi="Arial"/>
            <w:sz w:val="20"/>
            <w:szCs w:val="20"/>
            <w:u w:val="single" w:color="auto"/>
            <w:color w:val="0000FF"/>
          </w:rPr>
          <w:t>Lottery LLC and the other guarantors party thereto, and Deutsche Bank Trust Company Americas, as trustee, relating to the</w:t>
        </w:r>
      </w:hyperlink>
      <w:r>
        <w:rPr>
          <w:rFonts w:ascii="Arial" w:cs="Arial" w:eastAsia="Arial" w:hAnsi="Arial"/>
          <w:sz w:val="20"/>
          <w:szCs w:val="20"/>
          <w:u w:val="single" w:color="auto"/>
          <w:color w:val="0000FF"/>
        </w:rPr>
        <w:t xml:space="preserve"> </w:t>
      </w:r>
      <w:hyperlink r:id="rId264">
        <w:r>
          <w:rPr>
            <w:rFonts w:ascii="Arial" w:cs="Arial" w:eastAsia="Arial" w:hAnsi="Arial"/>
            <w:sz w:val="20"/>
            <w:szCs w:val="20"/>
            <w:u w:val="single" w:color="auto"/>
            <w:color w:val="0000FF"/>
          </w:rPr>
          <w:t>Indenture, dated as of March 19, 2019, as amended and supplemented, relating to the 8.250% Senior Unsecured Notes due</w:t>
        </w:r>
      </w:hyperlink>
      <w:r>
        <w:rPr>
          <w:rFonts w:ascii="Arial" w:cs="Arial" w:eastAsia="Arial" w:hAnsi="Arial"/>
          <w:sz w:val="20"/>
          <w:szCs w:val="20"/>
          <w:u w:val="single" w:color="auto"/>
          <w:color w:val="0000FF"/>
        </w:rPr>
        <w:t xml:space="preserve"> </w:t>
      </w:r>
      <w:hyperlink r:id="rId264">
        <w:r>
          <w:rPr>
            <w:rFonts w:ascii="Arial" w:cs="Arial" w:eastAsia="Arial" w:hAnsi="Arial"/>
            <w:sz w:val="20"/>
            <w:szCs w:val="20"/>
            <w:u w:val="single" w:color="auto"/>
            <w:color w:val="0000FF"/>
          </w:rPr>
          <w:t>2026 (incorporated by reference to Exhibit 4.40 to Scientific Games Corporation’s Annual Report on Form 10-K for the year</w:t>
        </w:r>
      </w:hyperlink>
      <w:r>
        <w:rPr>
          <w:rFonts w:ascii="Arial" w:cs="Arial" w:eastAsia="Arial" w:hAnsi="Arial"/>
          <w:sz w:val="20"/>
          <w:szCs w:val="20"/>
          <w:u w:val="single" w:color="auto"/>
          <w:color w:val="0000FF"/>
        </w:rPr>
        <w:t xml:space="preserve"> </w:t>
      </w:r>
      <w:hyperlink r:id="rId264">
        <w:r>
          <w:rPr>
            <w:rFonts w:ascii="Arial" w:cs="Arial" w:eastAsia="Arial" w:hAnsi="Arial"/>
            <w:sz w:val="20"/>
            <w:szCs w:val="20"/>
            <w:u w:val="single" w:color="auto"/>
            <w:color w:val="0000FF"/>
          </w:rPr>
          <w:t>ended December 31,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5">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66" w:lineRule="exact"/>
        <w:rPr>
          <w:rFonts w:ascii="Arial" w:cs="Arial" w:eastAsia="Arial" w:hAnsi="Arial"/>
          <w:sz w:val="20"/>
          <w:szCs w:val="20"/>
          <w:u w:val="single" w:color="auto"/>
          <w:color w:val="0000FF"/>
        </w:rPr>
      </w:pPr>
    </w:p>
    <w:p>
      <w:pPr>
        <w:jc w:val="center"/>
        <w:ind w:right="400"/>
        <w:spacing w:after="0"/>
        <w:rPr>
          <w:sz w:val="20"/>
          <w:szCs w:val="20"/>
          <w:color w:val="auto"/>
        </w:rPr>
      </w:pPr>
      <w:r>
        <w:rPr>
          <w:rFonts w:ascii="Arial" w:cs="Arial" w:eastAsia="Arial" w:hAnsi="Arial"/>
          <w:sz w:val="18"/>
          <w:szCs w:val="18"/>
          <w:color w:val="auto"/>
        </w:rPr>
        <w:t>137</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40" w:top="933" w:right="359" w:bottom="1440" w:gutter="0" w:footer="0" w:header="0"/>
        </w:sectPr>
      </w:pPr>
    </w:p>
    <w:bookmarkStart w:id="137" w:name="page138"/>
    <w:bookmarkEnd w:id="137"/>
    <w:p>
      <w:pPr>
        <w:ind w:left="880" w:right="50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4.41</w:t>
      </w:r>
      <w:r>
        <w:rPr>
          <w:sz w:val="20"/>
          <w:szCs w:val="20"/>
          <w:color w:val="auto"/>
        </w:rPr>
        <w:tab/>
      </w:r>
      <w:hyperlink r:id="rId267">
        <w:r>
          <w:rPr>
            <w:rFonts w:ascii="Arial" w:cs="Arial" w:eastAsia="Arial" w:hAnsi="Arial"/>
            <w:sz w:val="20"/>
            <w:szCs w:val="20"/>
            <w:u w:val="single" w:color="auto"/>
            <w:color w:val="0000FF"/>
          </w:rPr>
          <w:t>Indenture, dated as of November 26, 2019, among Scientific Games International, Inc., as issuer, Scientific Games</w:t>
        </w:r>
      </w:hyperlink>
      <w:r>
        <w:rPr>
          <w:rFonts w:ascii="Arial" w:cs="Arial" w:eastAsia="Arial" w:hAnsi="Arial"/>
          <w:sz w:val="20"/>
          <w:szCs w:val="20"/>
          <w:u w:val="single" w:color="auto"/>
          <w:color w:val="0000FF"/>
        </w:rPr>
        <w:t xml:space="preserve"> </w:t>
      </w:r>
      <w:hyperlink r:id="rId267">
        <w:r>
          <w:rPr>
            <w:rFonts w:ascii="Arial" w:cs="Arial" w:eastAsia="Arial" w:hAnsi="Arial"/>
            <w:sz w:val="20"/>
            <w:szCs w:val="20"/>
            <w:u w:val="single" w:color="auto"/>
            <w:color w:val="0000FF"/>
          </w:rPr>
          <w:t>Corporation, the other guarantors party thereto and Deutsche Bank Trust Company Americas, as trustee, relating to the</w:t>
        </w:r>
      </w:hyperlink>
      <w:r>
        <w:rPr>
          <w:rFonts w:ascii="Arial" w:cs="Arial" w:eastAsia="Arial" w:hAnsi="Arial"/>
          <w:sz w:val="20"/>
          <w:szCs w:val="20"/>
          <w:u w:val="single" w:color="auto"/>
          <w:color w:val="0000FF"/>
        </w:rPr>
        <w:t xml:space="preserve"> </w:t>
      </w:r>
      <w:hyperlink r:id="rId267">
        <w:r>
          <w:rPr>
            <w:rFonts w:ascii="Arial" w:cs="Arial" w:eastAsia="Arial" w:hAnsi="Arial"/>
            <w:sz w:val="20"/>
            <w:szCs w:val="20"/>
            <w:u w:val="single" w:color="auto"/>
            <w:color w:val="0000FF"/>
          </w:rPr>
          <w:t>7.000% Senior Unsecured Notes due 2028 (incorporated by reference to Exhibit 4.1 to Scientific Games Corporation’s</w:t>
        </w:r>
      </w:hyperlink>
      <w:r>
        <w:rPr>
          <w:rFonts w:ascii="Arial" w:cs="Arial" w:eastAsia="Arial" w:hAnsi="Arial"/>
          <w:sz w:val="20"/>
          <w:szCs w:val="20"/>
          <w:u w:val="single" w:color="auto"/>
          <w:color w:val="0000FF"/>
        </w:rPr>
        <w:t xml:space="preserve"> </w:t>
      </w:r>
      <w:hyperlink r:id="rId267">
        <w:r>
          <w:rPr>
            <w:rFonts w:ascii="Arial" w:cs="Arial" w:eastAsia="Arial" w:hAnsi="Arial"/>
            <w:sz w:val="20"/>
            <w:szCs w:val="20"/>
            <w:u w:val="single" w:color="auto"/>
            <w:color w:val="0000FF"/>
          </w:rPr>
          <w:t>Current Report on Form 8-K filed on November 26, 2019).</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8">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80" w:right="20" w:hanging="879"/>
        <w:spacing w:after="0" w:line="221" w:lineRule="auto"/>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4.42</w:t>
      </w:r>
      <w:r>
        <w:rPr>
          <w:sz w:val="20"/>
          <w:szCs w:val="20"/>
          <w:color w:val="auto"/>
        </w:rPr>
        <w:tab/>
      </w:r>
      <w:hyperlink r:id="rId269">
        <w:r>
          <w:rPr>
            <w:rFonts w:ascii="Arial" w:cs="Arial" w:eastAsia="Arial" w:hAnsi="Arial"/>
            <w:sz w:val="19"/>
            <w:szCs w:val="19"/>
            <w:u w:val="single" w:color="auto"/>
            <w:color w:val="0000FF"/>
          </w:rPr>
          <w:t>Supplemental Indenture, dated as of January 23, 2020, by and among Scientific Games International, Inc. as issuer,</w:t>
        </w:r>
      </w:hyperlink>
      <w:r>
        <w:rPr>
          <w:rFonts w:ascii="Arial" w:cs="Arial" w:eastAsia="Arial" w:hAnsi="Arial"/>
          <w:sz w:val="19"/>
          <w:szCs w:val="19"/>
          <w:u w:val="single" w:color="auto"/>
          <w:color w:val="0000FF"/>
        </w:rPr>
        <w:t xml:space="preserve"> </w:t>
      </w:r>
      <w:hyperlink r:id="rId269">
        <w:r>
          <w:rPr>
            <w:rFonts w:ascii="Arial" w:cs="Arial" w:eastAsia="Arial" w:hAnsi="Arial"/>
            <w:sz w:val="19"/>
            <w:szCs w:val="19"/>
            <w:u w:val="single" w:color="auto"/>
            <w:color w:val="0000FF"/>
          </w:rPr>
          <w:t>Scientific Games Corporation, NYX Digital Gaming (USA), LLC and the other guarantors party thereto, and Deutsche Bank</w:t>
        </w:r>
      </w:hyperlink>
      <w:r>
        <w:rPr>
          <w:rFonts w:ascii="Arial" w:cs="Arial" w:eastAsia="Arial" w:hAnsi="Arial"/>
          <w:sz w:val="19"/>
          <w:szCs w:val="19"/>
          <w:u w:val="single" w:color="auto"/>
          <w:color w:val="0000FF"/>
        </w:rPr>
        <w:t xml:space="preserve"> </w:t>
      </w:r>
      <w:hyperlink r:id="rId269">
        <w:r>
          <w:rPr>
            <w:rFonts w:ascii="Arial" w:cs="Arial" w:eastAsia="Arial" w:hAnsi="Arial"/>
            <w:sz w:val="19"/>
            <w:szCs w:val="19"/>
            <w:u w:val="single" w:color="auto"/>
            <w:color w:val="0000FF"/>
          </w:rPr>
          <w:t>Trust Company Americas, as trustee, relating to the Indenture, dated as of November 26, 2019, as amended and</w:t>
        </w:r>
      </w:hyperlink>
      <w:r>
        <w:rPr>
          <w:rFonts w:ascii="Arial" w:cs="Arial" w:eastAsia="Arial" w:hAnsi="Arial"/>
          <w:sz w:val="19"/>
          <w:szCs w:val="19"/>
          <w:u w:val="single" w:color="auto"/>
          <w:color w:val="0000FF"/>
        </w:rPr>
        <w:t xml:space="preserve"> </w:t>
      </w:r>
      <w:hyperlink r:id="rId269">
        <w:r>
          <w:rPr>
            <w:rFonts w:ascii="Arial" w:cs="Arial" w:eastAsia="Arial" w:hAnsi="Arial"/>
            <w:sz w:val="19"/>
            <w:szCs w:val="19"/>
            <w:u w:val="single" w:color="auto"/>
            <w:color w:val="0000FF"/>
          </w:rPr>
          <w:t>supplemented, relating to the 7.000% Senior Unsecured Notes due 2028 (incorporated by reference to Exhibit 4.47 to</w:t>
        </w:r>
      </w:hyperlink>
      <w:r>
        <w:rPr>
          <w:rFonts w:ascii="Arial" w:cs="Arial" w:eastAsia="Arial" w:hAnsi="Arial"/>
          <w:sz w:val="19"/>
          <w:szCs w:val="19"/>
          <w:u w:val="single" w:color="auto"/>
          <w:color w:val="0000FF"/>
        </w:rPr>
        <w:t xml:space="preserve"> </w:t>
      </w:r>
      <w:hyperlink r:id="rId269">
        <w:r>
          <w:rPr>
            <w:rFonts w:ascii="Arial" w:cs="Arial" w:eastAsia="Arial" w:hAnsi="Arial"/>
            <w:sz w:val="19"/>
            <w:szCs w:val="19"/>
            <w:u w:val="single" w:color="auto"/>
            <w:color w:val="0000FF"/>
          </w:rPr>
          <w:t>Scientific Games Corporation’s Annual Report on Form 10-K filed on February 18, 2020).</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0">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6" w:lineRule="exact"/>
        <w:rPr>
          <w:rFonts w:ascii="Arial" w:cs="Arial" w:eastAsia="Arial" w:hAnsi="Arial"/>
          <w:sz w:val="19"/>
          <w:szCs w:val="19"/>
          <w:u w:val="single" w:color="auto"/>
          <w:color w:val="0000FF"/>
        </w:rPr>
      </w:pPr>
    </w:p>
    <w:p>
      <w:pPr>
        <w:ind w:left="880" w:right="8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4.43</w:t>
      </w:r>
      <w:r>
        <w:rPr>
          <w:sz w:val="20"/>
          <w:szCs w:val="20"/>
          <w:color w:val="auto"/>
        </w:rPr>
        <w:tab/>
      </w:r>
      <w:hyperlink r:id="rId271">
        <w:r>
          <w:rPr>
            <w:rFonts w:ascii="Arial" w:cs="Arial" w:eastAsia="Arial" w:hAnsi="Arial"/>
            <w:sz w:val="20"/>
            <w:szCs w:val="20"/>
            <w:u w:val="single" w:color="auto"/>
            <w:color w:val="0000FF"/>
          </w:rPr>
          <w:t>Supplemental Indenture, dated as of January 5, 2021, by and among Scientific Games International, Inc., as issuer, SGI</w:t>
        </w:r>
      </w:hyperlink>
      <w:r>
        <w:rPr>
          <w:rFonts w:ascii="Arial" w:cs="Arial" w:eastAsia="Arial" w:hAnsi="Arial"/>
          <w:sz w:val="20"/>
          <w:szCs w:val="20"/>
          <w:u w:val="single" w:color="auto"/>
          <w:color w:val="0000FF"/>
        </w:rPr>
        <w:t xml:space="preserve"> </w:t>
      </w:r>
      <w:hyperlink r:id="rId271">
        <w:r>
          <w:rPr>
            <w:rFonts w:ascii="Arial" w:cs="Arial" w:eastAsia="Arial" w:hAnsi="Arial"/>
            <w:sz w:val="20"/>
            <w:szCs w:val="20"/>
            <w:u w:val="single" w:color="auto"/>
            <w:color w:val="0000FF"/>
          </w:rPr>
          <w:t>Lottery LLC and the guarantors party thereto, and Deutsche Bank Trust Company Americas, as trustee, relating to the</w:t>
        </w:r>
      </w:hyperlink>
      <w:r>
        <w:rPr>
          <w:rFonts w:ascii="Arial" w:cs="Arial" w:eastAsia="Arial" w:hAnsi="Arial"/>
          <w:sz w:val="20"/>
          <w:szCs w:val="20"/>
          <w:u w:val="single" w:color="auto"/>
          <w:color w:val="0000FF"/>
        </w:rPr>
        <w:t xml:space="preserve"> </w:t>
      </w:r>
      <w:hyperlink r:id="rId271">
        <w:r>
          <w:rPr>
            <w:rFonts w:ascii="Arial" w:cs="Arial" w:eastAsia="Arial" w:hAnsi="Arial"/>
            <w:sz w:val="20"/>
            <w:szCs w:val="20"/>
            <w:u w:val="single" w:color="auto"/>
            <w:color w:val="0000FF"/>
          </w:rPr>
          <w:t>Indenture, dated as of November 26, 2019, as amended and supplemented, relating to the 7.000% Senior Unsecured Notes</w:t>
        </w:r>
      </w:hyperlink>
      <w:r>
        <w:rPr>
          <w:rFonts w:ascii="Arial" w:cs="Arial" w:eastAsia="Arial" w:hAnsi="Arial"/>
          <w:sz w:val="20"/>
          <w:szCs w:val="20"/>
          <w:u w:val="single" w:color="auto"/>
          <w:color w:val="0000FF"/>
        </w:rPr>
        <w:t xml:space="preserve"> </w:t>
      </w:r>
      <w:hyperlink r:id="rId271">
        <w:r>
          <w:rPr>
            <w:rFonts w:ascii="Arial" w:cs="Arial" w:eastAsia="Arial" w:hAnsi="Arial"/>
            <w:sz w:val="20"/>
            <w:szCs w:val="20"/>
            <w:u w:val="single" w:color="auto"/>
            <w:color w:val="0000FF"/>
          </w:rPr>
          <w:t>due 2028 (incorporated by reference to Exhibit 4.43 to Scientific Games Corporation’s Annual Report on Form 10-K for the</w:t>
        </w:r>
      </w:hyperlink>
      <w:r>
        <w:rPr>
          <w:rFonts w:ascii="Arial" w:cs="Arial" w:eastAsia="Arial" w:hAnsi="Arial"/>
          <w:sz w:val="20"/>
          <w:szCs w:val="20"/>
          <w:u w:val="single" w:color="auto"/>
          <w:color w:val="0000FF"/>
        </w:rPr>
        <w:t xml:space="preserve"> </w:t>
      </w:r>
      <w:hyperlink r:id="rId271">
        <w:r>
          <w:rPr>
            <w:rFonts w:ascii="Arial" w:cs="Arial" w:eastAsia="Arial" w:hAnsi="Arial"/>
            <w:sz w:val="20"/>
            <w:szCs w:val="20"/>
            <w:u w:val="single" w:color="auto"/>
            <w:color w:val="0000FF"/>
          </w:rPr>
          <w:t>year ended December 31,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2">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50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4.44</w:t>
      </w:r>
      <w:r>
        <w:rPr>
          <w:sz w:val="20"/>
          <w:szCs w:val="20"/>
          <w:color w:val="auto"/>
        </w:rPr>
        <w:tab/>
      </w:r>
      <w:hyperlink r:id="rId273">
        <w:r>
          <w:rPr>
            <w:rFonts w:ascii="Arial" w:cs="Arial" w:eastAsia="Arial" w:hAnsi="Arial"/>
            <w:sz w:val="20"/>
            <w:szCs w:val="20"/>
            <w:u w:val="single" w:color="auto"/>
            <w:color w:val="0000FF"/>
          </w:rPr>
          <w:t>Indenture, dated as of November 26, 2019, among Scientific Games International, Inc., as issuer, Scientific Games</w:t>
        </w:r>
      </w:hyperlink>
      <w:r>
        <w:rPr>
          <w:rFonts w:ascii="Arial" w:cs="Arial" w:eastAsia="Arial" w:hAnsi="Arial"/>
          <w:sz w:val="20"/>
          <w:szCs w:val="20"/>
          <w:u w:val="single" w:color="auto"/>
          <w:color w:val="0000FF"/>
        </w:rPr>
        <w:t xml:space="preserve"> </w:t>
      </w:r>
      <w:hyperlink r:id="rId273">
        <w:r>
          <w:rPr>
            <w:rFonts w:ascii="Arial" w:cs="Arial" w:eastAsia="Arial" w:hAnsi="Arial"/>
            <w:sz w:val="20"/>
            <w:szCs w:val="20"/>
            <w:u w:val="single" w:color="auto"/>
            <w:color w:val="0000FF"/>
          </w:rPr>
          <w:t>Corporation, the other guarantors party thereto and Deutsche Bank Trust Company Americas, as trustee, relating to the</w:t>
        </w:r>
      </w:hyperlink>
      <w:r>
        <w:rPr>
          <w:rFonts w:ascii="Arial" w:cs="Arial" w:eastAsia="Arial" w:hAnsi="Arial"/>
          <w:sz w:val="20"/>
          <w:szCs w:val="20"/>
          <w:u w:val="single" w:color="auto"/>
          <w:color w:val="0000FF"/>
        </w:rPr>
        <w:t xml:space="preserve"> </w:t>
      </w:r>
      <w:hyperlink r:id="rId273">
        <w:r>
          <w:rPr>
            <w:rFonts w:ascii="Arial" w:cs="Arial" w:eastAsia="Arial" w:hAnsi="Arial"/>
            <w:sz w:val="20"/>
            <w:szCs w:val="20"/>
            <w:u w:val="single" w:color="auto"/>
            <w:color w:val="0000FF"/>
          </w:rPr>
          <w:t>7.250% Senior Unsecured Notes due 2029 (incorporated by reference to Exhibit 4.2 to Scientific Games Corporation’s</w:t>
        </w:r>
      </w:hyperlink>
      <w:r>
        <w:rPr>
          <w:rFonts w:ascii="Arial" w:cs="Arial" w:eastAsia="Arial" w:hAnsi="Arial"/>
          <w:sz w:val="20"/>
          <w:szCs w:val="20"/>
          <w:u w:val="single" w:color="auto"/>
          <w:color w:val="0000FF"/>
        </w:rPr>
        <w:t xml:space="preserve"> </w:t>
      </w:r>
      <w:hyperlink r:id="rId273">
        <w:r>
          <w:rPr>
            <w:rFonts w:ascii="Arial" w:cs="Arial" w:eastAsia="Arial" w:hAnsi="Arial"/>
            <w:sz w:val="20"/>
            <w:szCs w:val="20"/>
            <w:u w:val="single" w:color="auto"/>
            <w:color w:val="0000FF"/>
          </w:rPr>
          <w:t>Current Report on Form 8-K filed on November 26, 2019).</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4">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80" w:right="20" w:hanging="879"/>
        <w:spacing w:after="0" w:line="221" w:lineRule="auto"/>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4.45</w:t>
      </w:r>
      <w:r>
        <w:rPr>
          <w:sz w:val="20"/>
          <w:szCs w:val="20"/>
          <w:color w:val="auto"/>
        </w:rPr>
        <w:tab/>
      </w:r>
      <w:hyperlink r:id="rId275">
        <w:r>
          <w:rPr>
            <w:rFonts w:ascii="Arial" w:cs="Arial" w:eastAsia="Arial" w:hAnsi="Arial"/>
            <w:sz w:val="19"/>
            <w:szCs w:val="19"/>
            <w:u w:val="single" w:color="auto"/>
            <w:color w:val="0000FF"/>
          </w:rPr>
          <w:t>Supplemental Indenture, dated as of January 23, 2020, by and among Scientific Games International, Inc. as issuer,</w:t>
        </w:r>
      </w:hyperlink>
      <w:r>
        <w:rPr>
          <w:rFonts w:ascii="Arial" w:cs="Arial" w:eastAsia="Arial" w:hAnsi="Arial"/>
          <w:sz w:val="19"/>
          <w:szCs w:val="19"/>
          <w:u w:val="single" w:color="auto"/>
          <w:color w:val="0000FF"/>
        </w:rPr>
        <w:t xml:space="preserve"> </w:t>
      </w:r>
      <w:hyperlink r:id="rId275">
        <w:r>
          <w:rPr>
            <w:rFonts w:ascii="Arial" w:cs="Arial" w:eastAsia="Arial" w:hAnsi="Arial"/>
            <w:sz w:val="19"/>
            <w:szCs w:val="19"/>
            <w:u w:val="single" w:color="auto"/>
            <w:color w:val="0000FF"/>
          </w:rPr>
          <w:t>Scientific Games Corporation, NYX Digital Gaming (USA), LLC and the other guarantors party thereto, and Deutsche Bank</w:t>
        </w:r>
      </w:hyperlink>
      <w:r>
        <w:rPr>
          <w:rFonts w:ascii="Arial" w:cs="Arial" w:eastAsia="Arial" w:hAnsi="Arial"/>
          <w:sz w:val="19"/>
          <w:szCs w:val="19"/>
          <w:u w:val="single" w:color="auto"/>
          <w:color w:val="0000FF"/>
        </w:rPr>
        <w:t xml:space="preserve"> </w:t>
      </w:r>
      <w:hyperlink r:id="rId275">
        <w:r>
          <w:rPr>
            <w:rFonts w:ascii="Arial" w:cs="Arial" w:eastAsia="Arial" w:hAnsi="Arial"/>
            <w:sz w:val="19"/>
            <w:szCs w:val="19"/>
            <w:u w:val="single" w:color="auto"/>
            <w:color w:val="0000FF"/>
          </w:rPr>
          <w:t>Trust Company Americas, as trustee, relating to the Indenture, dated as of November 26, 2019, as amended and</w:t>
        </w:r>
      </w:hyperlink>
      <w:r>
        <w:rPr>
          <w:rFonts w:ascii="Arial" w:cs="Arial" w:eastAsia="Arial" w:hAnsi="Arial"/>
          <w:sz w:val="19"/>
          <w:szCs w:val="19"/>
          <w:u w:val="single" w:color="auto"/>
          <w:color w:val="0000FF"/>
        </w:rPr>
        <w:t xml:space="preserve"> </w:t>
      </w:r>
      <w:hyperlink r:id="rId275">
        <w:r>
          <w:rPr>
            <w:rFonts w:ascii="Arial" w:cs="Arial" w:eastAsia="Arial" w:hAnsi="Arial"/>
            <w:sz w:val="19"/>
            <w:szCs w:val="19"/>
            <w:u w:val="single" w:color="auto"/>
            <w:color w:val="0000FF"/>
          </w:rPr>
          <w:t>supplemented, relating to the 7.250% Senior Unsecured Notes due 2029 (incorporated by reference to Exhibit 4.49 to</w:t>
        </w:r>
      </w:hyperlink>
      <w:r>
        <w:rPr>
          <w:rFonts w:ascii="Arial" w:cs="Arial" w:eastAsia="Arial" w:hAnsi="Arial"/>
          <w:sz w:val="19"/>
          <w:szCs w:val="19"/>
          <w:u w:val="single" w:color="auto"/>
          <w:color w:val="0000FF"/>
        </w:rPr>
        <w:t xml:space="preserve"> </w:t>
      </w:r>
      <w:hyperlink r:id="rId275">
        <w:r>
          <w:rPr>
            <w:rFonts w:ascii="Arial" w:cs="Arial" w:eastAsia="Arial" w:hAnsi="Arial"/>
            <w:sz w:val="19"/>
            <w:szCs w:val="19"/>
            <w:u w:val="single" w:color="auto"/>
            <w:color w:val="0000FF"/>
          </w:rPr>
          <w:t>Scientific Games Corporations Annual Report on Form 10-K filed on February 18, 2020).</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6">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6" w:lineRule="exact"/>
        <w:rPr>
          <w:rFonts w:ascii="Arial" w:cs="Arial" w:eastAsia="Arial" w:hAnsi="Arial"/>
          <w:sz w:val="19"/>
          <w:szCs w:val="19"/>
          <w:u w:val="single" w:color="auto"/>
          <w:color w:val="0000FF"/>
        </w:rPr>
      </w:pPr>
    </w:p>
    <w:p>
      <w:pPr>
        <w:ind w:left="880" w:right="8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4.46</w:t>
      </w:r>
      <w:r>
        <w:rPr>
          <w:sz w:val="20"/>
          <w:szCs w:val="20"/>
          <w:color w:val="auto"/>
        </w:rPr>
        <w:tab/>
      </w:r>
      <w:hyperlink r:id="rId277">
        <w:r>
          <w:rPr>
            <w:rFonts w:ascii="Arial" w:cs="Arial" w:eastAsia="Arial" w:hAnsi="Arial"/>
            <w:sz w:val="20"/>
            <w:szCs w:val="20"/>
            <w:u w:val="single" w:color="auto"/>
            <w:color w:val="0000FF"/>
          </w:rPr>
          <w:t>Supplemental Indenture, dated as of January 5, 2021, by and among Scientific Games International, Inc., as issuer, SGI</w:t>
        </w:r>
      </w:hyperlink>
      <w:r>
        <w:rPr>
          <w:rFonts w:ascii="Arial" w:cs="Arial" w:eastAsia="Arial" w:hAnsi="Arial"/>
          <w:sz w:val="20"/>
          <w:szCs w:val="20"/>
          <w:u w:val="single" w:color="auto"/>
          <w:color w:val="0000FF"/>
        </w:rPr>
        <w:t xml:space="preserve"> </w:t>
      </w:r>
      <w:hyperlink r:id="rId277">
        <w:r>
          <w:rPr>
            <w:rFonts w:ascii="Arial" w:cs="Arial" w:eastAsia="Arial" w:hAnsi="Arial"/>
            <w:sz w:val="20"/>
            <w:szCs w:val="20"/>
            <w:u w:val="single" w:color="auto"/>
            <w:color w:val="0000FF"/>
          </w:rPr>
          <w:t>Lottery LLC and the other guarantors party thereto, and Deutsche Bank Trust Company Americas, as trustee, relating to the</w:t>
        </w:r>
      </w:hyperlink>
      <w:r>
        <w:rPr>
          <w:rFonts w:ascii="Arial" w:cs="Arial" w:eastAsia="Arial" w:hAnsi="Arial"/>
          <w:sz w:val="20"/>
          <w:szCs w:val="20"/>
          <w:u w:val="single" w:color="auto"/>
          <w:color w:val="0000FF"/>
        </w:rPr>
        <w:t xml:space="preserve"> </w:t>
      </w:r>
      <w:hyperlink r:id="rId277">
        <w:r>
          <w:rPr>
            <w:rFonts w:ascii="Arial" w:cs="Arial" w:eastAsia="Arial" w:hAnsi="Arial"/>
            <w:sz w:val="20"/>
            <w:szCs w:val="20"/>
            <w:u w:val="single" w:color="auto"/>
            <w:color w:val="0000FF"/>
          </w:rPr>
          <w:t>Indenture, dated as of November 26, 2019, as amended and supplemented, relating to the 7.250% Senior Unsecured Notes</w:t>
        </w:r>
      </w:hyperlink>
      <w:r>
        <w:rPr>
          <w:rFonts w:ascii="Arial" w:cs="Arial" w:eastAsia="Arial" w:hAnsi="Arial"/>
          <w:sz w:val="20"/>
          <w:szCs w:val="20"/>
          <w:u w:val="single" w:color="auto"/>
          <w:color w:val="0000FF"/>
        </w:rPr>
        <w:t xml:space="preserve"> </w:t>
      </w:r>
      <w:hyperlink r:id="rId277">
        <w:r>
          <w:rPr>
            <w:rFonts w:ascii="Arial" w:cs="Arial" w:eastAsia="Arial" w:hAnsi="Arial"/>
            <w:sz w:val="20"/>
            <w:szCs w:val="20"/>
            <w:u w:val="single" w:color="auto"/>
            <w:color w:val="0000FF"/>
          </w:rPr>
          <w:t>due 2029 (incorporated by reference to Exhibit 4.46 to Scientific Games Corporation’s Annual Report on Form 10-K for the</w:t>
        </w:r>
      </w:hyperlink>
      <w:r>
        <w:rPr>
          <w:rFonts w:ascii="Arial" w:cs="Arial" w:eastAsia="Arial" w:hAnsi="Arial"/>
          <w:sz w:val="20"/>
          <w:szCs w:val="20"/>
          <w:u w:val="single" w:color="auto"/>
          <w:color w:val="0000FF"/>
        </w:rPr>
        <w:t xml:space="preserve"> </w:t>
      </w:r>
      <w:hyperlink r:id="rId277">
        <w:r>
          <w:rPr>
            <w:rFonts w:ascii="Arial" w:cs="Arial" w:eastAsia="Arial" w:hAnsi="Arial"/>
            <w:sz w:val="20"/>
            <w:szCs w:val="20"/>
            <w:u w:val="single" w:color="auto"/>
            <w:color w:val="0000FF"/>
          </w:rPr>
          <w:t>year ended December 31,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8">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32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4.47</w:t>
      </w:r>
      <w:r>
        <w:rPr>
          <w:sz w:val="20"/>
          <w:szCs w:val="20"/>
          <w:color w:val="auto"/>
        </w:rPr>
        <w:tab/>
      </w:r>
      <w:hyperlink r:id="rId279">
        <w:r>
          <w:rPr>
            <w:rFonts w:ascii="Arial" w:cs="Arial" w:eastAsia="Arial" w:hAnsi="Arial"/>
            <w:sz w:val="20"/>
            <w:szCs w:val="20"/>
            <w:u w:val="single" w:color="auto"/>
            <w:color w:val="0000FF"/>
          </w:rPr>
          <w:t>Indenture, dated as of July 1, 2020, among Scientific Games International, Inc., as issuer, Deutsche Bank Trust Company</w:t>
        </w:r>
      </w:hyperlink>
      <w:r>
        <w:rPr>
          <w:rFonts w:ascii="Arial" w:cs="Arial" w:eastAsia="Arial" w:hAnsi="Arial"/>
          <w:sz w:val="20"/>
          <w:szCs w:val="20"/>
          <w:u w:val="single" w:color="auto"/>
          <w:color w:val="0000FF"/>
        </w:rPr>
        <w:t xml:space="preserve"> </w:t>
      </w:r>
      <w:hyperlink r:id="rId279">
        <w:r>
          <w:rPr>
            <w:rFonts w:ascii="Arial" w:cs="Arial" w:eastAsia="Arial" w:hAnsi="Arial"/>
            <w:sz w:val="20"/>
            <w:szCs w:val="20"/>
            <w:u w:val="single" w:color="auto"/>
            <w:color w:val="0000FF"/>
          </w:rPr>
          <w:t>Americas, as trustee, and the other guarantors party thereto, relating to the 8.625 % Senior Unsecured Notes due 2025</w:t>
        </w:r>
      </w:hyperlink>
      <w:r>
        <w:rPr>
          <w:rFonts w:ascii="Arial" w:cs="Arial" w:eastAsia="Arial" w:hAnsi="Arial"/>
          <w:sz w:val="20"/>
          <w:szCs w:val="20"/>
          <w:u w:val="single" w:color="auto"/>
          <w:color w:val="0000FF"/>
        </w:rPr>
        <w:t xml:space="preserve"> </w:t>
      </w:r>
      <w:hyperlink r:id="rId279">
        <w:r>
          <w:rPr>
            <w:rFonts w:ascii="Arial" w:cs="Arial" w:eastAsia="Arial" w:hAnsi="Arial"/>
            <w:sz w:val="20"/>
            <w:szCs w:val="20"/>
            <w:u w:val="single" w:color="auto"/>
            <w:color w:val="0000FF"/>
          </w:rPr>
          <w:t>(incorporated by reference to Exhibit 4.1 to Scientific Games Corporation's Current Report on Form 8-K filed on July 1,</w:t>
        </w:r>
      </w:hyperlink>
      <w:r>
        <w:rPr>
          <w:rFonts w:ascii="Arial" w:cs="Arial" w:eastAsia="Arial" w:hAnsi="Arial"/>
          <w:sz w:val="20"/>
          <w:szCs w:val="20"/>
          <w:u w:val="single" w:color="auto"/>
          <w:color w:val="0000FF"/>
        </w:rPr>
        <w:t xml:space="preserve"> </w:t>
      </w:r>
      <w:hyperlink r:id="rId279">
        <w:r>
          <w:rPr>
            <w:rFonts w:ascii="Arial" w:cs="Arial" w:eastAsia="Arial" w:hAnsi="Arial"/>
            <w:sz w:val="20"/>
            <w:szCs w:val="20"/>
            <w:u w:val="single" w:color="auto"/>
            <w:color w:val="0000FF"/>
          </w:rPr>
          <w:t>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0">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8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4.48</w:t>
      </w:r>
      <w:r>
        <w:rPr>
          <w:sz w:val="20"/>
          <w:szCs w:val="20"/>
          <w:color w:val="auto"/>
        </w:rPr>
        <w:tab/>
      </w:r>
      <w:hyperlink r:id="rId281">
        <w:r>
          <w:rPr>
            <w:rFonts w:ascii="Arial" w:cs="Arial" w:eastAsia="Arial" w:hAnsi="Arial"/>
            <w:sz w:val="20"/>
            <w:szCs w:val="20"/>
            <w:u w:val="single" w:color="auto"/>
            <w:color w:val="0000FF"/>
          </w:rPr>
          <w:t>Supplemental Indenture, dated as of January 5, 2021, by and among Scientific Games International, Inc, as issuer, SGI</w:t>
        </w:r>
      </w:hyperlink>
      <w:r>
        <w:rPr>
          <w:rFonts w:ascii="Arial" w:cs="Arial" w:eastAsia="Arial" w:hAnsi="Arial"/>
          <w:sz w:val="20"/>
          <w:szCs w:val="20"/>
          <w:u w:val="single" w:color="auto"/>
          <w:color w:val="0000FF"/>
        </w:rPr>
        <w:t xml:space="preserve"> </w:t>
      </w:r>
      <w:hyperlink r:id="rId281">
        <w:r>
          <w:rPr>
            <w:rFonts w:ascii="Arial" w:cs="Arial" w:eastAsia="Arial" w:hAnsi="Arial"/>
            <w:sz w:val="20"/>
            <w:szCs w:val="20"/>
            <w:u w:val="single" w:color="auto"/>
            <w:color w:val="0000FF"/>
          </w:rPr>
          <w:t>Lottery LLC and the other guarantors party thereto, and Deutsche Bank Trust Company Americas, as trustee, relating to the</w:t>
        </w:r>
      </w:hyperlink>
      <w:r>
        <w:rPr>
          <w:rFonts w:ascii="Arial" w:cs="Arial" w:eastAsia="Arial" w:hAnsi="Arial"/>
          <w:sz w:val="20"/>
          <w:szCs w:val="20"/>
          <w:u w:val="single" w:color="auto"/>
          <w:color w:val="0000FF"/>
        </w:rPr>
        <w:t xml:space="preserve"> </w:t>
      </w:r>
      <w:hyperlink r:id="rId281">
        <w:r>
          <w:rPr>
            <w:rFonts w:ascii="Arial" w:cs="Arial" w:eastAsia="Arial" w:hAnsi="Arial"/>
            <w:sz w:val="20"/>
            <w:szCs w:val="20"/>
            <w:u w:val="single" w:color="auto"/>
            <w:color w:val="0000FF"/>
          </w:rPr>
          <w:t>Indenture, dated as of July 1, 2020, as amended and supplemented, relating to the 8.625 % Senior Unsecured Notes due 2025</w:t>
        </w:r>
      </w:hyperlink>
      <w:r>
        <w:rPr>
          <w:rFonts w:ascii="Arial" w:cs="Arial" w:eastAsia="Arial" w:hAnsi="Arial"/>
          <w:sz w:val="20"/>
          <w:szCs w:val="20"/>
          <w:u w:val="single" w:color="auto"/>
          <w:color w:val="0000FF"/>
        </w:rPr>
        <w:t xml:space="preserve"> </w:t>
      </w:r>
      <w:hyperlink r:id="rId281">
        <w:r>
          <w:rPr>
            <w:rFonts w:ascii="Arial" w:cs="Arial" w:eastAsia="Arial" w:hAnsi="Arial"/>
            <w:sz w:val="20"/>
            <w:szCs w:val="20"/>
            <w:u w:val="single" w:color="auto"/>
            <w:color w:val="0000FF"/>
          </w:rPr>
          <w:t>(incorporated by reference to Exhibit 4.48 to Scientific Games Corporation’s Annual Report on Form 10-K for the year</w:t>
        </w:r>
      </w:hyperlink>
      <w:r>
        <w:rPr>
          <w:rFonts w:ascii="Arial" w:cs="Arial" w:eastAsia="Arial" w:hAnsi="Arial"/>
          <w:sz w:val="20"/>
          <w:szCs w:val="20"/>
          <w:u w:val="single" w:color="auto"/>
          <w:color w:val="0000FF"/>
        </w:rPr>
        <w:t xml:space="preserve"> </w:t>
      </w:r>
      <w:hyperlink r:id="rId281">
        <w:r>
          <w:rPr>
            <w:rFonts w:ascii="Arial" w:cs="Arial" w:eastAsia="Arial" w:hAnsi="Arial"/>
            <w:sz w:val="20"/>
            <w:szCs w:val="20"/>
            <w:u w:val="single" w:color="auto"/>
            <w:color w:val="0000FF"/>
          </w:rPr>
          <w:t>ended December 31,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2">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4.49</w:t>
      </w:r>
      <w:r>
        <w:rPr>
          <w:sz w:val="20"/>
          <w:szCs w:val="20"/>
          <w:color w:val="auto"/>
        </w:rPr>
        <w:tab/>
      </w:r>
      <w:hyperlink r:id="rId283">
        <w:r>
          <w:rPr>
            <w:rFonts w:ascii="Arial" w:cs="Arial" w:eastAsia="Arial" w:hAnsi="Arial"/>
            <w:sz w:val="20"/>
            <w:szCs w:val="20"/>
            <w:u w:val="single" w:color="auto"/>
            <w:color w:val="0000FF"/>
          </w:rPr>
          <w:t>Supplemental Indenture, dated as of August 19, 2021, by and among Scientific Games International, Inc., Scientific Games,</w:t>
        </w:r>
      </w:hyperlink>
      <w:r>
        <w:rPr>
          <w:rFonts w:ascii="Arial" w:cs="Arial" w:eastAsia="Arial" w:hAnsi="Arial"/>
          <w:sz w:val="20"/>
          <w:szCs w:val="20"/>
          <w:u w:val="single" w:color="auto"/>
          <w:color w:val="0000FF"/>
        </w:rPr>
        <w:t xml:space="preserve"> </w:t>
      </w:r>
      <w:hyperlink r:id="rId283">
        <w:r>
          <w:rPr>
            <w:rFonts w:ascii="Arial" w:cs="Arial" w:eastAsia="Arial" w:hAnsi="Arial"/>
            <w:sz w:val="20"/>
            <w:szCs w:val="20"/>
            <w:u w:val="single" w:color="auto"/>
            <w:color w:val="0000FF"/>
          </w:rPr>
          <w:t>Inc. and the other guarantors party thereto and Deutsche Bank Trust Company Americas, as trustee and collateral agent,</w:t>
        </w:r>
      </w:hyperlink>
      <w:r>
        <w:rPr>
          <w:rFonts w:ascii="Arial" w:cs="Arial" w:eastAsia="Arial" w:hAnsi="Arial"/>
          <w:sz w:val="20"/>
          <w:szCs w:val="20"/>
          <w:u w:val="single" w:color="auto"/>
          <w:color w:val="0000FF"/>
        </w:rPr>
        <w:t xml:space="preserve"> </w:t>
      </w:r>
      <w:hyperlink r:id="rId283">
        <w:r>
          <w:rPr>
            <w:rFonts w:ascii="Arial" w:cs="Arial" w:eastAsia="Arial" w:hAnsi="Arial"/>
            <w:sz w:val="20"/>
            <w:szCs w:val="20"/>
            <w:u w:val="single" w:color="auto"/>
            <w:color w:val="0000FF"/>
          </w:rPr>
          <w:t>relating to the Indenture, dated as of October 17, 2017, as amended and supplemented, relating to the 5.000% Senior Secured</w:t>
        </w:r>
      </w:hyperlink>
      <w:r>
        <w:rPr>
          <w:rFonts w:ascii="Arial" w:cs="Arial" w:eastAsia="Arial" w:hAnsi="Arial"/>
          <w:sz w:val="20"/>
          <w:szCs w:val="20"/>
          <w:u w:val="single" w:color="auto"/>
          <w:color w:val="0000FF"/>
        </w:rPr>
        <w:t xml:space="preserve"> </w:t>
      </w:r>
      <w:hyperlink r:id="rId283">
        <w:r>
          <w:rPr>
            <w:rFonts w:ascii="Arial" w:cs="Arial" w:eastAsia="Arial" w:hAnsi="Arial"/>
            <w:sz w:val="20"/>
            <w:szCs w:val="20"/>
            <w:u w:val="single" w:color="auto"/>
            <w:color w:val="0000FF"/>
          </w:rPr>
          <w:t>Notes due 2025 (incorporated by reference to Exhibit 4.1 to Scientific Games Corporation’s Quarterly Report on Form 10-Q</w:t>
        </w:r>
      </w:hyperlink>
      <w:r>
        <w:rPr>
          <w:rFonts w:ascii="Arial" w:cs="Arial" w:eastAsia="Arial" w:hAnsi="Arial"/>
          <w:sz w:val="20"/>
          <w:szCs w:val="20"/>
          <w:u w:val="single" w:color="auto"/>
          <w:color w:val="0000FF"/>
        </w:rPr>
        <w:t xml:space="preserve"> </w:t>
      </w:r>
      <w:hyperlink r:id="rId283">
        <w:r>
          <w:rPr>
            <w:rFonts w:ascii="Arial" w:cs="Arial" w:eastAsia="Arial" w:hAnsi="Arial"/>
            <w:sz w:val="20"/>
            <w:szCs w:val="20"/>
            <w:u w:val="single" w:color="auto"/>
            <w:color w:val="0000FF"/>
          </w:rPr>
          <w:t>for the quarter ended September 30,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4">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66" w:lineRule="exact"/>
        <w:rPr>
          <w:rFonts w:ascii="Arial" w:cs="Arial" w:eastAsia="Arial" w:hAnsi="Arial"/>
          <w:sz w:val="20"/>
          <w:szCs w:val="20"/>
          <w:u w:val="single" w:color="auto"/>
          <w:color w:val="0000FF"/>
        </w:rPr>
      </w:pPr>
    </w:p>
    <w:p>
      <w:pPr>
        <w:jc w:val="center"/>
        <w:ind w:right="400"/>
        <w:spacing w:after="0"/>
        <w:rPr>
          <w:sz w:val="20"/>
          <w:szCs w:val="20"/>
          <w:color w:val="auto"/>
        </w:rPr>
      </w:pPr>
      <w:r>
        <w:rPr>
          <w:rFonts w:ascii="Arial" w:cs="Arial" w:eastAsia="Arial" w:hAnsi="Arial"/>
          <w:sz w:val="18"/>
          <w:szCs w:val="18"/>
          <w:color w:val="auto"/>
        </w:rPr>
        <w:t>138</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40" w:top="933" w:right="359" w:bottom="1440" w:gutter="0" w:footer="0" w:header="0"/>
        </w:sectPr>
      </w:pPr>
    </w:p>
    <w:bookmarkStart w:id="138" w:name="page139"/>
    <w:bookmarkEnd w:id="138"/>
    <w:p>
      <w:pPr>
        <w:ind w:left="880" w:right="2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4.50</w:t>
      </w:r>
      <w:r>
        <w:rPr>
          <w:sz w:val="20"/>
          <w:szCs w:val="20"/>
          <w:color w:val="auto"/>
        </w:rPr>
        <w:tab/>
      </w:r>
      <w:hyperlink r:id="rId286">
        <w:r>
          <w:rPr>
            <w:rFonts w:ascii="Arial" w:cs="Arial" w:eastAsia="Arial" w:hAnsi="Arial"/>
            <w:sz w:val="20"/>
            <w:szCs w:val="20"/>
            <w:u w:val="single" w:color="auto"/>
            <w:color w:val="0000FF"/>
          </w:rPr>
          <w:t>Supplemental Indenture, dated as of August 19, 2021, by and among Scientific Games International, Inc., Scientific Games,</w:t>
        </w:r>
      </w:hyperlink>
      <w:r>
        <w:rPr>
          <w:rFonts w:ascii="Arial" w:cs="Arial" w:eastAsia="Arial" w:hAnsi="Arial"/>
          <w:sz w:val="20"/>
          <w:szCs w:val="20"/>
          <w:u w:val="single" w:color="auto"/>
          <w:color w:val="0000FF"/>
        </w:rPr>
        <w:t xml:space="preserve"> </w:t>
      </w:r>
      <w:hyperlink r:id="rId286">
        <w:r>
          <w:rPr>
            <w:rFonts w:ascii="Arial" w:cs="Arial" w:eastAsia="Arial" w:hAnsi="Arial"/>
            <w:sz w:val="20"/>
            <w:szCs w:val="20"/>
            <w:u w:val="single" w:color="auto"/>
            <w:color w:val="0000FF"/>
          </w:rPr>
          <w:t>Inc. and the other guarantors party thereto and Deutsche Bank Trust Company Americas, as trustee, relating to the Indenture,</w:t>
        </w:r>
      </w:hyperlink>
      <w:r>
        <w:rPr>
          <w:rFonts w:ascii="Arial" w:cs="Arial" w:eastAsia="Arial" w:hAnsi="Arial"/>
          <w:sz w:val="20"/>
          <w:szCs w:val="20"/>
          <w:u w:val="single" w:color="auto"/>
          <w:color w:val="0000FF"/>
        </w:rPr>
        <w:t xml:space="preserve"> </w:t>
      </w:r>
      <w:hyperlink r:id="rId286">
        <w:r>
          <w:rPr>
            <w:rFonts w:ascii="Arial" w:cs="Arial" w:eastAsia="Arial" w:hAnsi="Arial"/>
            <w:sz w:val="20"/>
            <w:szCs w:val="20"/>
            <w:u w:val="single" w:color="auto"/>
            <w:color w:val="0000FF"/>
          </w:rPr>
          <w:t>dated as of July 1, 2020, as amended and supplemented, relating to the 8.625% Senior Unsecured Notes due 2025</w:t>
        </w:r>
      </w:hyperlink>
      <w:r>
        <w:rPr>
          <w:rFonts w:ascii="Arial" w:cs="Arial" w:eastAsia="Arial" w:hAnsi="Arial"/>
          <w:sz w:val="20"/>
          <w:szCs w:val="20"/>
          <w:u w:val="single" w:color="auto"/>
          <w:color w:val="0000FF"/>
        </w:rPr>
        <w:t xml:space="preserve"> </w:t>
      </w:r>
      <w:hyperlink r:id="rId286">
        <w:r>
          <w:rPr>
            <w:rFonts w:ascii="Arial" w:cs="Arial" w:eastAsia="Arial" w:hAnsi="Arial"/>
            <w:sz w:val="20"/>
            <w:szCs w:val="20"/>
            <w:u w:val="single" w:color="auto"/>
            <w:color w:val="0000FF"/>
          </w:rPr>
          <w:t>(incorporated by reference to Exhibit 4.2 to Scientific Games Corporation’s Quarterly Report on Form 10-Q for the quarter</w:t>
        </w:r>
      </w:hyperlink>
      <w:r>
        <w:rPr>
          <w:rFonts w:ascii="Arial" w:cs="Arial" w:eastAsia="Arial" w:hAnsi="Arial"/>
          <w:sz w:val="20"/>
          <w:szCs w:val="20"/>
          <w:u w:val="single" w:color="auto"/>
          <w:color w:val="0000FF"/>
        </w:rPr>
        <w:t xml:space="preserve"> </w:t>
      </w:r>
      <w:hyperlink r:id="rId286">
        <w:r>
          <w:rPr>
            <w:rFonts w:ascii="Arial" w:cs="Arial" w:eastAsia="Arial" w:hAnsi="Arial"/>
            <w:sz w:val="20"/>
            <w:szCs w:val="20"/>
            <w:u w:val="single" w:color="auto"/>
            <w:color w:val="0000FF"/>
          </w:rPr>
          <w:t>ended September 30,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7">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80" w:hanging="879"/>
        <w:spacing w:after="0" w:line="221" w:lineRule="auto"/>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4.51</w:t>
      </w:r>
      <w:r>
        <w:rPr>
          <w:sz w:val="20"/>
          <w:szCs w:val="20"/>
          <w:color w:val="auto"/>
        </w:rPr>
        <w:tab/>
      </w:r>
      <w:hyperlink r:id="rId288">
        <w:r>
          <w:rPr>
            <w:rFonts w:ascii="Arial" w:cs="Arial" w:eastAsia="Arial" w:hAnsi="Arial"/>
            <w:sz w:val="19"/>
            <w:szCs w:val="19"/>
            <w:u w:val="single" w:color="auto"/>
            <w:color w:val="0000FF"/>
          </w:rPr>
          <w:t>Supplemental Indenture, dated as of August 19, 2021, by and among Scientific Games International, Inc., Scientific Games,</w:t>
        </w:r>
      </w:hyperlink>
      <w:r>
        <w:rPr>
          <w:rFonts w:ascii="Arial" w:cs="Arial" w:eastAsia="Arial" w:hAnsi="Arial"/>
          <w:sz w:val="19"/>
          <w:szCs w:val="19"/>
          <w:u w:val="single" w:color="auto"/>
          <w:color w:val="0000FF"/>
        </w:rPr>
        <w:t xml:space="preserve"> </w:t>
      </w:r>
      <w:hyperlink r:id="rId288">
        <w:r>
          <w:rPr>
            <w:rFonts w:ascii="Arial" w:cs="Arial" w:eastAsia="Arial" w:hAnsi="Arial"/>
            <w:sz w:val="19"/>
            <w:szCs w:val="19"/>
            <w:u w:val="single" w:color="auto"/>
            <w:color w:val="0000FF"/>
          </w:rPr>
          <w:t>Inc. and the other guarantors party thereto and Deutsche Bank Trust Company Americas, as trustee, registrar and transfer</w:t>
        </w:r>
      </w:hyperlink>
      <w:r>
        <w:rPr>
          <w:rFonts w:ascii="Arial" w:cs="Arial" w:eastAsia="Arial" w:hAnsi="Arial"/>
          <w:sz w:val="19"/>
          <w:szCs w:val="19"/>
          <w:u w:val="single" w:color="auto"/>
          <w:color w:val="0000FF"/>
        </w:rPr>
        <w:t xml:space="preserve"> </w:t>
      </w:r>
      <w:hyperlink r:id="rId288">
        <w:r>
          <w:rPr>
            <w:rFonts w:ascii="Arial" w:cs="Arial" w:eastAsia="Arial" w:hAnsi="Arial"/>
            <w:sz w:val="19"/>
            <w:szCs w:val="19"/>
            <w:u w:val="single" w:color="auto"/>
            <w:color w:val="0000FF"/>
          </w:rPr>
          <w:t>agent, relating to the Indenture, dated as of February 14, 2018, as amended and supplemented, relating to the 5.500% Senior</w:t>
        </w:r>
      </w:hyperlink>
      <w:r>
        <w:rPr>
          <w:rFonts w:ascii="Arial" w:cs="Arial" w:eastAsia="Arial" w:hAnsi="Arial"/>
          <w:sz w:val="19"/>
          <w:szCs w:val="19"/>
          <w:u w:val="single" w:color="auto"/>
          <w:color w:val="0000FF"/>
        </w:rPr>
        <w:t xml:space="preserve"> </w:t>
      </w:r>
      <w:hyperlink r:id="rId288">
        <w:r>
          <w:rPr>
            <w:rFonts w:ascii="Arial" w:cs="Arial" w:eastAsia="Arial" w:hAnsi="Arial"/>
            <w:sz w:val="19"/>
            <w:szCs w:val="19"/>
            <w:u w:val="single" w:color="auto"/>
            <w:color w:val="0000FF"/>
          </w:rPr>
          <w:t>Unsecured Notes due 2026 (incorporated by reference to Exhibit 4.3 to Scientific Games Corporation’s Quarterly Report on</w:t>
        </w:r>
      </w:hyperlink>
      <w:r>
        <w:rPr>
          <w:rFonts w:ascii="Arial" w:cs="Arial" w:eastAsia="Arial" w:hAnsi="Arial"/>
          <w:sz w:val="19"/>
          <w:szCs w:val="19"/>
          <w:u w:val="single" w:color="auto"/>
          <w:color w:val="0000FF"/>
        </w:rPr>
        <w:t xml:space="preserve"> </w:t>
      </w:r>
      <w:hyperlink r:id="rId288">
        <w:r>
          <w:rPr>
            <w:rFonts w:ascii="Arial" w:cs="Arial" w:eastAsia="Arial" w:hAnsi="Arial"/>
            <w:sz w:val="19"/>
            <w:szCs w:val="19"/>
            <w:u w:val="single" w:color="auto"/>
            <w:color w:val="0000FF"/>
          </w:rPr>
          <w:t>Form 10-Q for the quarter ended September 30, 2021).</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9">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6" w:lineRule="exact"/>
        <w:rPr>
          <w:rFonts w:ascii="Arial" w:cs="Arial" w:eastAsia="Arial" w:hAnsi="Arial"/>
          <w:sz w:val="19"/>
          <w:szCs w:val="19"/>
          <w:u w:val="single" w:color="auto"/>
          <w:color w:val="0000FF"/>
        </w:rPr>
      </w:pPr>
    </w:p>
    <w:p>
      <w:pPr>
        <w:ind w:left="880" w:hanging="879"/>
        <w:spacing w:after="0" w:line="221" w:lineRule="auto"/>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4.52</w:t>
      </w:r>
      <w:r>
        <w:rPr>
          <w:sz w:val="20"/>
          <w:szCs w:val="20"/>
          <w:color w:val="auto"/>
        </w:rPr>
        <w:tab/>
      </w:r>
      <w:hyperlink r:id="rId290">
        <w:r>
          <w:rPr>
            <w:rFonts w:ascii="Arial" w:cs="Arial" w:eastAsia="Arial" w:hAnsi="Arial"/>
            <w:sz w:val="19"/>
            <w:szCs w:val="19"/>
            <w:u w:val="single" w:color="auto"/>
            <w:color w:val="0000FF"/>
          </w:rPr>
          <w:t>Supplemental Indenture, dated as of August 19, 2021, by and among Scientific Games International, Inc., Scientific Games,</w:t>
        </w:r>
      </w:hyperlink>
      <w:r>
        <w:rPr>
          <w:rFonts w:ascii="Arial" w:cs="Arial" w:eastAsia="Arial" w:hAnsi="Arial"/>
          <w:sz w:val="19"/>
          <w:szCs w:val="19"/>
          <w:u w:val="single" w:color="auto"/>
          <w:color w:val="0000FF"/>
        </w:rPr>
        <w:t xml:space="preserve"> </w:t>
      </w:r>
      <w:hyperlink r:id="rId290">
        <w:r>
          <w:rPr>
            <w:rFonts w:ascii="Arial" w:cs="Arial" w:eastAsia="Arial" w:hAnsi="Arial"/>
            <w:sz w:val="19"/>
            <w:szCs w:val="19"/>
            <w:u w:val="single" w:color="auto"/>
            <w:color w:val="0000FF"/>
          </w:rPr>
          <w:t>Inc. and the other guarantors party thereto and Deutsche Bank Trust Company Americas, as trustee, collateral agent, registrar</w:t>
        </w:r>
      </w:hyperlink>
      <w:r>
        <w:rPr>
          <w:rFonts w:ascii="Arial" w:cs="Arial" w:eastAsia="Arial" w:hAnsi="Arial"/>
          <w:sz w:val="19"/>
          <w:szCs w:val="19"/>
          <w:u w:val="single" w:color="auto"/>
          <w:color w:val="0000FF"/>
        </w:rPr>
        <w:t xml:space="preserve"> </w:t>
      </w:r>
      <w:hyperlink r:id="rId290">
        <w:r>
          <w:rPr>
            <w:rFonts w:ascii="Arial" w:cs="Arial" w:eastAsia="Arial" w:hAnsi="Arial"/>
            <w:sz w:val="19"/>
            <w:szCs w:val="19"/>
            <w:u w:val="single" w:color="auto"/>
            <w:color w:val="0000FF"/>
          </w:rPr>
          <w:t>and transfer agent, relating to the Indenture, dated as of February 14, 2018, as amended and supplemented, relating to the</w:t>
        </w:r>
      </w:hyperlink>
      <w:r>
        <w:rPr>
          <w:rFonts w:ascii="Arial" w:cs="Arial" w:eastAsia="Arial" w:hAnsi="Arial"/>
          <w:sz w:val="19"/>
          <w:szCs w:val="19"/>
          <w:u w:val="single" w:color="auto"/>
          <w:color w:val="0000FF"/>
        </w:rPr>
        <w:t xml:space="preserve"> </w:t>
      </w:r>
      <w:hyperlink r:id="rId290">
        <w:r>
          <w:rPr>
            <w:rFonts w:ascii="Arial" w:cs="Arial" w:eastAsia="Arial" w:hAnsi="Arial"/>
            <w:sz w:val="19"/>
            <w:szCs w:val="19"/>
            <w:u w:val="single" w:color="auto"/>
            <w:color w:val="0000FF"/>
          </w:rPr>
          <w:t>3.375% Senior Secured Notes due 2026 (incorporated by reference to Exhibit 4.4 to Scientific Games Corporation’s</w:t>
        </w:r>
      </w:hyperlink>
      <w:r>
        <w:rPr>
          <w:rFonts w:ascii="Arial" w:cs="Arial" w:eastAsia="Arial" w:hAnsi="Arial"/>
          <w:sz w:val="19"/>
          <w:szCs w:val="19"/>
          <w:u w:val="single" w:color="auto"/>
          <w:color w:val="0000FF"/>
        </w:rPr>
        <w:t xml:space="preserve"> </w:t>
      </w:r>
      <w:hyperlink r:id="rId290">
        <w:r>
          <w:rPr>
            <w:rFonts w:ascii="Arial" w:cs="Arial" w:eastAsia="Arial" w:hAnsi="Arial"/>
            <w:sz w:val="19"/>
            <w:szCs w:val="19"/>
            <w:u w:val="single" w:color="auto"/>
            <w:color w:val="0000FF"/>
          </w:rPr>
          <w:t>Quarterly Report on Form 10-Q for the quarter ended September 30, 2021).</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1">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6" w:lineRule="exact"/>
        <w:rPr>
          <w:rFonts w:ascii="Arial" w:cs="Arial" w:eastAsia="Arial" w:hAnsi="Arial"/>
          <w:sz w:val="19"/>
          <w:szCs w:val="19"/>
          <w:u w:val="single" w:color="auto"/>
          <w:color w:val="0000FF"/>
        </w:rPr>
      </w:pPr>
    </w:p>
    <w:p>
      <w:pPr>
        <w:ind w:left="880" w:right="2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4.53</w:t>
      </w:r>
      <w:r>
        <w:rPr>
          <w:sz w:val="20"/>
          <w:szCs w:val="20"/>
          <w:color w:val="auto"/>
        </w:rPr>
        <w:tab/>
      </w:r>
      <w:hyperlink r:id="rId292">
        <w:r>
          <w:rPr>
            <w:rFonts w:ascii="Arial" w:cs="Arial" w:eastAsia="Arial" w:hAnsi="Arial"/>
            <w:sz w:val="20"/>
            <w:szCs w:val="20"/>
            <w:u w:val="single" w:color="auto"/>
            <w:color w:val="0000FF"/>
          </w:rPr>
          <w:t>Supplemental Indenture, dated as of August 19, 2021, by and among Scientific Games International, Inc., Scientific Games,</w:t>
        </w:r>
      </w:hyperlink>
      <w:r>
        <w:rPr>
          <w:rFonts w:ascii="Arial" w:cs="Arial" w:eastAsia="Arial" w:hAnsi="Arial"/>
          <w:sz w:val="20"/>
          <w:szCs w:val="20"/>
          <w:u w:val="single" w:color="auto"/>
          <w:color w:val="0000FF"/>
        </w:rPr>
        <w:t xml:space="preserve"> </w:t>
      </w:r>
      <w:hyperlink r:id="rId292">
        <w:r>
          <w:rPr>
            <w:rFonts w:ascii="Arial" w:cs="Arial" w:eastAsia="Arial" w:hAnsi="Arial"/>
            <w:sz w:val="20"/>
            <w:szCs w:val="20"/>
            <w:u w:val="single" w:color="auto"/>
            <w:color w:val="0000FF"/>
          </w:rPr>
          <w:t>Inc. and the other guarantors party thereto and Deutsche Bank Trust Company Americas, as trustee, relating to the Indenture,</w:t>
        </w:r>
      </w:hyperlink>
      <w:r>
        <w:rPr>
          <w:rFonts w:ascii="Arial" w:cs="Arial" w:eastAsia="Arial" w:hAnsi="Arial"/>
          <w:sz w:val="20"/>
          <w:szCs w:val="20"/>
          <w:u w:val="single" w:color="auto"/>
          <w:color w:val="0000FF"/>
        </w:rPr>
        <w:t xml:space="preserve"> </w:t>
      </w:r>
      <w:hyperlink r:id="rId292">
        <w:r>
          <w:rPr>
            <w:rFonts w:ascii="Arial" w:cs="Arial" w:eastAsia="Arial" w:hAnsi="Arial"/>
            <w:sz w:val="20"/>
            <w:szCs w:val="20"/>
            <w:u w:val="single" w:color="auto"/>
            <w:color w:val="0000FF"/>
          </w:rPr>
          <w:t>dated as of March 19, 2019, as amended and supplemented, relating to the 8.250% Senior Unsecured Notes due 2026</w:t>
        </w:r>
      </w:hyperlink>
      <w:r>
        <w:rPr>
          <w:rFonts w:ascii="Arial" w:cs="Arial" w:eastAsia="Arial" w:hAnsi="Arial"/>
          <w:sz w:val="20"/>
          <w:szCs w:val="20"/>
          <w:u w:val="single" w:color="auto"/>
          <w:color w:val="0000FF"/>
        </w:rPr>
        <w:t xml:space="preserve"> </w:t>
      </w:r>
      <w:hyperlink r:id="rId292">
        <w:r>
          <w:rPr>
            <w:rFonts w:ascii="Arial" w:cs="Arial" w:eastAsia="Arial" w:hAnsi="Arial"/>
            <w:sz w:val="20"/>
            <w:szCs w:val="20"/>
            <w:u w:val="single" w:color="auto"/>
            <w:color w:val="0000FF"/>
          </w:rPr>
          <w:t>(incorporated by reference to Exhibit 4.5 to Scientific Games Corporation’s Quarterly Report on Form 10-Q for the quarter</w:t>
        </w:r>
      </w:hyperlink>
      <w:r>
        <w:rPr>
          <w:rFonts w:ascii="Arial" w:cs="Arial" w:eastAsia="Arial" w:hAnsi="Arial"/>
          <w:sz w:val="20"/>
          <w:szCs w:val="20"/>
          <w:u w:val="single" w:color="auto"/>
          <w:color w:val="0000FF"/>
        </w:rPr>
        <w:t xml:space="preserve"> </w:t>
      </w:r>
      <w:hyperlink r:id="rId292">
        <w:r>
          <w:rPr>
            <w:rFonts w:ascii="Arial" w:cs="Arial" w:eastAsia="Arial" w:hAnsi="Arial"/>
            <w:sz w:val="20"/>
            <w:szCs w:val="20"/>
            <w:u w:val="single" w:color="auto"/>
            <w:color w:val="0000FF"/>
          </w:rPr>
          <w:t>ended September 30,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3">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2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4.54</w:t>
      </w:r>
      <w:r>
        <w:rPr>
          <w:sz w:val="20"/>
          <w:szCs w:val="20"/>
          <w:color w:val="auto"/>
        </w:rPr>
        <w:tab/>
      </w:r>
      <w:hyperlink r:id="rId294">
        <w:r>
          <w:rPr>
            <w:rFonts w:ascii="Arial" w:cs="Arial" w:eastAsia="Arial" w:hAnsi="Arial"/>
            <w:sz w:val="20"/>
            <w:szCs w:val="20"/>
            <w:u w:val="single" w:color="auto"/>
            <w:color w:val="0000FF"/>
          </w:rPr>
          <w:t>Supplemental Indenture, dated as of August 19, 2021, by and among Scientific Games International, Inc., Scientific Games,</w:t>
        </w:r>
      </w:hyperlink>
      <w:r>
        <w:rPr>
          <w:rFonts w:ascii="Arial" w:cs="Arial" w:eastAsia="Arial" w:hAnsi="Arial"/>
          <w:sz w:val="20"/>
          <w:szCs w:val="20"/>
          <w:u w:val="single" w:color="auto"/>
          <w:color w:val="0000FF"/>
        </w:rPr>
        <w:t xml:space="preserve"> </w:t>
      </w:r>
      <w:hyperlink r:id="rId294">
        <w:r>
          <w:rPr>
            <w:rFonts w:ascii="Arial" w:cs="Arial" w:eastAsia="Arial" w:hAnsi="Arial"/>
            <w:sz w:val="20"/>
            <w:szCs w:val="20"/>
            <w:u w:val="single" w:color="auto"/>
            <w:color w:val="0000FF"/>
          </w:rPr>
          <w:t>Inc. and the other guarantors party thereto and Deutsche Bank Trust Company Americas, as trustee, relating to the Indenture,</w:t>
        </w:r>
      </w:hyperlink>
      <w:r>
        <w:rPr>
          <w:rFonts w:ascii="Arial" w:cs="Arial" w:eastAsia="Arial" w:hAnsi="Arial"/>
          <w:sz w:val="20"/>
          <w:szCs w:val="20"/>
          <w:u w:val="single" w:color="auto"/>
          <w:color w:val="0000FF"/>
        </w:rPr>
        <w:t xml:space="preserve"> </w:t>
      </w:r>
      <w:hyperlink r:id="rId294">
        <w:r>
          <w:rPr>
            <w:rFonts w:ascii="Arial" w:cs="Arial" w:eastAsia="Arial" w:hAnsi="Arial"/>
            <w:sz w:val="20"/>
            <w:szCs w:val="20"/>
            <w:u w:val="single" w:color="auto"/>
            <w:color w:val="0000FF"/>
          </w:rPr>
          <w:t>dated as of November 26, 2019, as amended and supplemented, relating to the 7.000% Senior Unsecured Notes due 2028</w:t>
        </w:r>
      </w:hyperlink>
      <w:r>
        <w:rPr>
          <w:rFonts w:ascii="Arial" w:cs="Arial" w:eastAsia="Arial" w:hAnsi="Arial"/>
          <w:sz w:val="20"/>
          <w:szCs w:val="20"/>
          <w:u w:val="single" w:color="auto"/>
          <w:color w:val="0000FF"/>
        </w:rPr>
        <w:t xml:space="preserve"> </w:t>
      </w:r>
      <w:hyperlink r:id="rId294">
        <w:r>
          <w:rPr>
            <w:rFonts w:ascii="Arial" w:cs="Arial" w:eastAsia="Arial" w:hAnsi="Arial"/>
            <w:sz w:val="20"/>
            <w:szCs w:val="20"/>
            <w:u w:val="single" w:color="auto"/>
            <w:color w:val="0000FF"/>
          </w:rPr>
          <w:t>(incorporated by reference to Exhibit 4.6 to Scientific Games Corporation’s Quarterly Report on Form 10-Q for the quarter</w:t>
        </w:r>
      </w:hyperlink>
      <w:r>
        <w:rPr>
          <w:rFonts w:ascii="Arial" w:cs="Arial" w:eastAsia="Arial" w:hAnsi="Arial"/>
          <w:sz w:val="20"/>
          <w:szCs w:val="20"/>
          <w:u w:val="single" w:color="auto"/>
          <w:color w:val="0000FF"/>
        </w:rPr>
        <w:t xml:space="preserve"> </w:t>
      </w:r>
      <w:hyperlink r:id="rId294">
        <w:r>
          <w:rPr>
            <w:rFonts w:ascii="Arial" w:cs="Arial" w:eastAsia="Arial" w:hAnsi="Arial"/>
            <w:sz w:val="20"/>
            <w:szCs w:val="20"/>
            <w:u w:val="single" w:color="auto"/>
            <w:color w:val="0000FF"/>
          </w:rPr>
          <w:t>ended September 30,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5">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2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4.55</w:t>
      </w:r>
      <w:r>
        <w:rPr>
          <w:sz w:val="20"/>
          <w:szCs w:val="20"/>
          <w:color w:val="auto"/>
        </w:rPr>
        <w:tab/>
      </w:r>
      <w:hyperlink r:id="rId296">
        <w:r>
          <w:rPr>
            <w:rFonts w:ascii="Arial" w:cs="Arial" w:eastAsia="Arial" w:hAnsi="Arial"/>
            <w:sz w:val="20"/>
            <w:szCs w:val="20"/>
            <w:u w:val="single" w:color="auto"/>
            <w:color w:val="0000FF"/>
          </w:rPr>
          <w:t>Supplemental Indenture, dated as of August 19, 2021, by and among Scientific Games International, Inc., Scientific Games,</w:t>
        </w:r>
      </w:hyperlink>
      <w:r>
        <w:rPr>
          <w:rFonts w:ascii="Arial" w:cs="Arial" w:eastAsia="Arial" w:hAnsi="Arial"/>
          <w:sz w:val="20"/>
          <w:szCs w:val="20"/>
          <w:u w:val="single" w:color="auto"/>
          <w:color w:val="0000FF"/>
        </w:rPr>
        <w:t xml:space="preserve"> </w:t>
      </w:r>
      <w:hyperlink r:id="rId296">
        <w:r>
          <w:rPr>
            <w:rFonts w:ascii="Arial" w:cs="Arial" w:eastAsia="Arial" w:hAnsi="Arial"/>
            <w:sz w:val="20"/>
            <w:szCs w:val="20"/>
            <w:u w:val="single" w:color="auto"/>
            <w:color w:val="0000FF"/>
          </w:rPr>
          <w:t>Inc. and the other guarantors party thereto and Deutsche Bank Trust Company Americas, as trustee, relating to the Indenture,</w:t>
        </w:r>
      </w:hyperlink>
      <w:r>
        <w:rPr>
          <w:rFonts w:ascii="Arial" w:cs="Arial" w:eastAsia="Arial" w:hAnsi="Arial"/>
          <w:sz w:val="20"/>
          <w:szCs w:val="20"/>
          <w:u w:val="single" w:color="auto"/>
          <w:color w:val="0000FF"/>
        </w:rPr>
        <w:t xml:space="preserve"> </w:t>
      </w:r>
      <w:hyperlink r:id="rId296">
        <w:r>
          <w:rPr>
            <w:rFonts w:ascii="Arial" w:cs="Arial" w:eastAsia="Arial" w:hAnsi="Arial"/>
            <w:sz w:val="20"/>
            <w:szCs w:val="20"/>
            <w:u w:val="single" w:color="auto"/>
            <w:color w:val="0000FF"/>
          </w:rPr>
          <w:t>dated as of November 26, 2019, as amended and supplemented, relating to the 7.250% Senior Unsecured Notes due 2029</w:t>
        </w:r>
      </w:hyperlink>
      <w:r>
        <w:rPr>
          <w:rFonts w:ascii="Arial" w:cs="Arial" w:eastAsia="Arial" w:hAnsi="Arial"/>
          <w:sz w:val="20"/>
          <w:szCs w:val="20"/>
          <w:u w:val="single" w:color="auto"/>
          <w:color w:val="0000FF"/>
        </w:rPr>
        <w:t xml:space="preserve"> </w:t>
      </w:r>
      <w:hyperlink r:id="rId296">
        <w:r>
          <w:rPr>
            <w:rFonts w:ascii="Arial" w:cs="Arial" w:eastAsia="Arial" w:hAnsi="Arial"/>
            <w:sz w:val="20"/>
            <w:szCs w:val="20"/>
            <w:u w:val="single" w:color="auto"/>
            <w:color w:val="0000FF"/>
          </w:rPr>
          <w:t>(incorporated by reference to Exhibit 4.7 to Scientific Games Corporation’s Quarterly Report on Form 10-Q for the quarter</w:t>
        </w:r>
      </w:hyperlink>
      <w:r>
        <w:rPr>
          <w:rFonts w:ascii="Arial" w:cs="Arial" w:eastAsia="Arial" w:hAnsi="Arial"/>
          <w:sz w:val="20"/>
          <w:szCs w:val="20"/>
          <w:u w:val="single" w:color="auto"/>
          <w:color w:val="0000FF"/>
        </w:rPr>
        <w:t xml:space="preserve"> </w:t>
      </w:r>
      <w:hyperlink r:id="rId296">
        <w:r>
          <w:rPr>
            <w:rFonts w:ascii="Arial" w:cs="Arial" w:eastAsia="Arial" w:hAnsi="Arial"/>
            <w:sz w:val="20"/>
            <w:szCs w:val="20"/>
            <w:u w:val="single" w:color="auto"/>
            <w:color w:val="0000FF"/>
          </w:rPr>
          <w:t>ended September 30,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7">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2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4.56</w:t>
      </w:r>
      <w:r>
        <w:rPr>
          <w:sz w:val="20"/>
          <w:szCs w:val="20"/>
          <w:color w:val="auto"/>
        </w:rPr>
        <w:tab/>
      </w:r>
      <w:hyperlink r:id="rId298">
        <w:r>
          <w:rPr>
            <w:rFonts w:ascii="Arial" w:cs="Arial" w:eastAsia="Arial" w:hAnsi="Arial"/>
            <w:sz w:val="20"/>
            <w:szCs w:val="20"/>
            <w:u w:val="single" w:color="auto"/>
            <w:color w:val="0000FF"/>
          </w:rPr>
          <w:t>Supplemental Indenture, dated as of September 30, 2021, among Scientific Games International, Inc., as issuer, Scientific</w:t>
        </w:r>
      </w:hyperlink>
      <w:r>
        <w:rPr>
          <w:rFonts w:ascii="Arial" w:cs="Arial" w:eastAsia="Arial" w:hAnsi="Arial"/>
          <w:sz w:val="20"/>
          <w:szCs w:val="20"/>
          <w:u w:val="single" w:color="auto"/>
          <w:color w:val="0000FF"/>
        </w:rPr>
        <w:t xml:space="preserve"> </w:t>
      </w:r>
      <w:hyperlink r:id="rId298">
        <w:r>
          <w:rPr>
            <w:rFonts w:ascii="Arial" w:cs="Arial" w:eastAsia="Arial" w:hAnsi="Arial"/>
            <w:sz w:val="20"/>
            <w:szCs w:val="20"/>
            <w:u w:val="single" w:color="auto"/>
            <w:color w:val="0000FF"/>
          </w:rPr>
          <w:t>Games Corporation, the other guarantors party thereto, and Deutsche Bank Trust Company Americas, as trustee, relating to</w:t>
        </w:r>
      </w:hyperlink>
      <w:r>
        <w:rPr>
          <w:rFonts w:ascii="Arial" w:cs="Arial" w:eastAsia="Arial" w:hAnsi="Arial"/>
          <w:sz w:val="20"/>
          <w:szCs w:val="20"/>
          <w:u w:val="single" w:color="auto"/>
          <w:color w:val="0000FF"/>
        </w:rPr>
        <w:t xml:space="preserve"> </w:t>
      </w:r>
      <w:hyperlink r:id="rId298">
        <w:r>
          <w:rPr>
            <w:rFonts w:ascii="Arial" w:cs="Arial" w:eastAsia="Arial" w:hAnsi="Arial"/>
            <w:sz w:val="20"/>
            <w:szCs w:val="20"/>
            <w:u w:val="single" w:color="auto"/>
            <w:color w:val="0000FF"/>
          </w:rPr>
          <w:t>the Indenture, dated as of October 17, 2017, as amended and supplemented, relating to the 5.000% Senior Secured Notes due</w:t>
        </w:r>
      </w:hyperlink>
      <w:r>
        <w:rPr>
          <w:rFonts w:ascii="Arial" w:cs="Arial" w:eastAsia="Arial" w:hAnsi="Arial"/>
          <w:sz w:val="20"/>
          <w:szCs w:val="20"/>
          <w:u w:val="single" w:color="auto"/>
          <w:color w:val="0000FF"/>
        </w:rPr>
        <w:t xml:space="preserve"> </w:t>
      </w:r>
      <w:hyperlink r:id="rId298">
        <w:r>
          <w:rPr>
            <w:rFonts w:ascii="Arial" w:cs="Arial" w:eastAsia="Arial" w:hAnsi="Arial"/>
            <w:sz w:val="20"/>
            <w:szCs w:val="20"/>
            <w:u w:val="single" w:color="auto"/>
            <w:color w:val="0000FF"/>
          </w:rPr>
          <w:t>2025 (incorporated by reference to Exhibit 4.1 to Scientific Games Corporation’s Current Report on Form 8-K filed on</w:t>
        </w:r>
      </w:hyperlink>
      <w:r>
        <w:rPr>
          <w:rFonts w:ascii="Arial" w:cs="Arial" w:eastAsia="Arial" w:hAnsi="Arial"/>
          <w:sz w:val="20"/>
          <w:szCs w:val="20"/>
          <w:u w:val="single" w:color="auto"/>
          <w:color w:val="0000FF"/>
        </w:rPr>
        <w:t xml:space="preserve"> </w:t>
      </w:r>
      <w:hyperlink r:id="rId298">
        <w:r>
          <w:rPr>
            <w:rFonts w:ascii="Arial" w:cs="Arial" w:eastAsia="Arial" w:hAnsi="Arial"/>
            <w:sz w:val="20"/>
            <w:szCs w:val="20"/>
            <w:u w:val="single" w:color="auto"/>
            <w:color w:val="0000FF"/>
          </w:rPr>
          <w:t>October 1,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9">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14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4.57</w:t>
      </w:r>
      <w:r>
        <w:rPr>
          <w:sz w:val="20"/>
          <w:szCs w:val="20"/>
          <w:color w:val="auto"/>
        </w:rPr>
        <w:tab/>
      </w:r>
      <w:hyperlink r:id="rId300">
        <w:r>
          <w:rPr>
            <w:rFonts w:ascii="Arial" w:cs="Arial" w:eastAsia="Arial" w:hAnsi="Arial"/>
            <w:sz w:val="20"/>
            <w:szCs w:val="20"/>
            <w:u w:val="single" w:color="auto"/>
            <w:color w:val="0000FF"/>
          </w:rPr>
          <w:t>Supplemental Indenture, dated as of September 30, 2021, among Scientific Games International, Inc., as issuer, Scientific</w:t>
        </w:r>
      </w:hyperlink>
      <w:r>
        <w:rPr>
          <w:rFonts w:ascii="Arial" w:cs="Arial" w:eastAsia="Arial" w:hAnsi="Arial"/>
          <w:sz w:val="20"/>
          <w:szCs w:val="20"/>
          <w:u w:val="single" w:color="auto"/>
          <w:color w:val="0000FF"/>
        </w:rPr>
        <w:t xml:space="preserve"> </w:t>
      </w:r>
      <w:hyperlink r:id="rId300">
        <w:r>
          <w:rPr>
            <w:rFonts w:ascii="Arial" w:cs="Arial" w:eastAsia="Arial" w:hAnsi="Arial"/>
            <w:sz w:val="20"/>
            <w:szCs w:val="20"/>
            <w:u w:val="single" w:color="auto"/>
            <w:color w:val="0000FF"/>
          </w:rPr>
          <w:t>Games Corporation, the other guarantors party thereto, and Deutsche Bank Trust Company Americas, as trustee, relating to</w:t>
        </w:r>
      </w:hyperlink>
      <w:r>
        <w:rPr>
          <w:rFonts w:ascii="Arial" w:cs="Arial" w:eastAsia="Arial" w:hAnsi="Arial"/>
          <w:sz w:val="20"/>
          <w:szCs w:val="20"/>
          <w:u w:val="single" w:color="auto"/>
          <w:color w:val="0000FF"/>
        </w:rPr>
        <w:t xml:space="preserve"> </w:t>
      </w:r>
      <w:hyperlink r:id="rId300">
        <w:r>
          <w:rPr>
            <w:rFonts w:ascii="Arial" w:cs="Arial" w:eastAsia="Arial" w:hAnsi="Arial"/>
            <w:sz w:val="20"/>
            <w:szCs w:val="20"/>
            <w:u w:val="single" w:color="auto"/>
            <w:color w:val="0000FF"/>
          </w:rPr>
          <w:t>the Indenture, dated as of February 14, 2018, as amended and supplemented, relating to the 3.375% Senior Secured Notes</w:t>
        </w:r>
      </w:hyperlink>
      <w:r>
        <w:rPr>
          <w:rFonts w:ascii="Arial" w:cs="Arial" w:eastAsia="Arial" w:hAnsi="Arial"/>
          <w:sz w:val="20"/>
          <w:szCs w:val="20"/>
          <w:u w:val="single" w:color="auto"/>
          <w:color w:val="0000FF"/>
        </w:rPr>
        <w:t xml:space="preserve"> </w:t>
      </w:r>
      <w:hyperlink r:id="rId300">
        <w:r>
          <w:rPr>
            <w:rFonts w:ascii="Arial" w:cs="Arial" w:eastAsia="Arial" w:hAnsi="Arial"/>
            <w:sz w:val="20"/>
            <w:szCs w:val="20"/>
            <w:u w:val="single" w:color="auto"/>
            <w:color w:val="0000FF"/>
          </w:rPr>
          <w:t>due 2026 (incorporated by reference to Exhibit 4.2 to Scientific Games Corporation’s Current Report on Form 8-K filed on</w:t>
        </w:r>
      </w:hyperlink>
      <w:r>
        <w:rPr>
          <w:rFonts w:ascii="Arial" w:cs="Arial" w:eastAsia="Arial" w:hAnsi="Arial"/>
          <w:sz w:val="20"/>
          <w:szCs w:val="20"/>
          <w:u w:val="single" w:color="auto"/>
          <w:color w:val="0000FF"/>
        </w:rPr>
        <w:t xml:space="preserve"> </w:t>
      </w:r>
      <w:hyperlink r:id="rId300">
        <w:r>
          <w:rPr>
            <w:rFonts w:ascii="Arial" w:cs="Arial" w:eastAsia="Arial" w:hAnsi="Arial"/>
            <w:sz w:val="20"/>
            <w:szCs w:val="20"/>
            <w:u w:val="single" w:color="auto"/>
            <w:color w:val="0000FF"/>
          </w:rPr>
          <w:t>October 1,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1">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66" w:lineRule="exact"/>
        <w:rPr>
          <w:rFonts w:ascii="Arial" w:cs="Arial" w:eastAsia="Arial" w:hAnsi="Arial"/>
          <w:sz w:val="20"/>
          <w:szCs w:val="20"/>
          <w:u w:val="single" w:color="auto"/>
          <w:color w:val="0000FF"/>
        </w:rPr>
      </w:pPr>
    </w:p>
    <w:p>
      <w:pPr>
        <w:jc w:val="center"/>
        <w:ind w:right="400"/>
        <w:spacing w:after="0"/>
        <w:rPr>
          <w:sz w:val="20"/>
          <w:szCs w:val="20"/>
          <w:color w:val="auto"/>
        </w:rPr>
      </w:pPr>
      <w:r>
        <w:rPr>
          <w:rFonts w:ascii="Arial" w:cs="Arial" w:eastAsia="Arial" w:hAnsi="Arial"/>
          <w:sz w:val="18"/>
          <w:szCs w:val="18"/>
          <w:color w:val="auto"/>
        </w:rPr>
        <w:t>139</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40" w:top="933" w:right="359" w:bottom="1440" w:gutter="0" w:footer="0" w:header="0"/>
        </w:sectPr>
      </w:pPr>
    </w:p>
    <w:bookmarkStart w:id="139" w:name="page140"/>
    <w:bookmarkEnd w:id="139"/>
    <w:p>
      <w:pPr>
        <w:ind w:left="880" w:right="12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4.58</w:t>
      </w:r>
      <w:r>
        <w:rPr>
          <w:sz w:val="20"/>
          <w:szCs w:val="20"/>
          <w:color w:val="auto"/>
        </w:rPr>
        <w:tab/>
      </w:r>
      <w:hyperlink r:id="rId303">
        <w:r>
          <w:rPr>
            <w:rFonts w:ascii="Arial" w:cs="Arial" w:eastAsia="Arial" w:hAnsi="Arial"/>
            <w:sz w:val="20"/>
            <w:szCs w:val="20"/>
            <w:u w:val="single" w:color="auto"/>
            <w:color w:val="0000FF"/>
          </w:rPr>
          <w:t>Supplemental Indenture, dated as of September 30, 2021, among Scientific Games International, Inc., as issuer, Scientific</w:t>
        </w:r>
      </w:hyperlink>
      <w:r>
        <w:rPr>
          <w:rFonts w:ascii="Arial" w:cs="Arial" w:eastAsia="Arial" w:hAnsi="Arial"/>
          <w:sz w:val="20"/>
          <w:szCs w:val="20"/>
          <w:u w:val="single" w:color="auto"/>
          <w:color w:val="0000FF"/>
        </w:rPr>
        <w:t xml:space="preserve"> </w:t>
      </w:r>
      <w:hyperlink r:id="rId303">
        <w:r>
          <w:rPr>
            <w:rFonts w:ascii="Arial" w:cs="Arial" w:eastAsia="Arial" w:hAnsi="Arial"/>
            <w:sz w:val="20"/>
            <w:szCs w:val="20"/>
            <w:u w:val="single" w:color="auto"/>
            <w:color w:val="0000FF"/>
          </w:rPr>
          <w:t>Games Corporation, the other guarantors party thereto, and Deutsche Bank Trust Company Americas, as trustee, relating to</w:t>
        </w:r>
      </w:hyperlink>
      <w:r>
        <w:rPr>
          <w:rFonts w:ascii="Arial" w:cs="Arial" w:eastAsia="Arial" w:hAnsi="Arial"/>
          <w:sz w:val="20"/>
          <w:szCs w:val="20"/>
          <w:u w:val="single" w:color="auto"/>
          <w:color w:val="0000FF"/>
        </w:rPr>
        <w:t xml:space="preserve"> </w:t>
      </w:r>
      <w:hyperlink r:id="rId303">
        <w:r>
          <w:rPr>
            <w:rFonts w:ascii="Arial" w:cs="Arial" w:eastAsia="Arial" w:hAnsi="Arial"/>
            <w:sz w:val="20"/>
            <w:szCs w:val="20"/>
            <w:u w:val="single" w:color="auto"/>
            <w:color w:val="0000FF"/>
          </w:rPr>
          <w:t>the Indenture, dated as of July 1, 2020, as amended and supplemented relating to the 8.625% Senior Unsecured Notes due</w:t>
        </w:r>
      </w:hyperlink>
      <w:r>
        <w:rPr>
          <w:rFonts w:ascii="Arial" w:cs="Arial" w:eastAsia="Arial" w:hAnsi="Arial"/>
          <w:sz w:val="20"/>
          <w:szCs w:val="20"/>
          <w:u w:val="single" w:color="auto"/>
          <w:color w:val="0000FF"/>
        </w:rPr>
        <w:t xml:space="preserve"> </w:t>
      </w:r>
      <w:hyperlink r:id="rId303">
        <w:r>
          <w:rPr>
            <w:rFonts w:ascii="Arial" w:cs="Arial" w:eastAsia="Arial" w:hAnsi="Arial"/>
            <w:sz w:val="20"/>
            <w:szCs w:val="20"/>
            <w:u w:val="single" w:color="auto"/>
            <w:color w:val="0000FF"/>
          </w:rPr>
          <w:t>2025 (incorporated by reference to Exhibit 4.3 to Scientific Games Corporation’s Current Report on Form 8-K filed on</w:t>
        </w:r>
      </w:hyperlink>
      <w:r>
        <w:rPr>
          <w:rFonts w:ascii="Arial" w:cs="Arial" w:eastAsia="Arial" w:hAnsi="Arial"/>
          <w:sz w:val="20"/>
          <w:szCs w:val="20"/>
          <w:u w:val="single" w:color="auto"/>
          <w:color w:val="0000FF"/>
        </w:rPr>
        <w:t xml:space="preserve"> </w:t>
      </w:r>
      <w:hyperlink r:id="rId303">
        <w:r>
          <w:rPr>
            <w:rFonts w:ascii="Arial" w:cs="Arial" w:eastAsia="Arial" w:hAnsi="Arial"/>
            <w:sz w:val="20"/>
            <w:szCs w:val="20"/>
            <w:u w:val="single" w:color="auto"/>
            <w:color w:val="0000FF"/>
          </w:rPr>
          <w:t>October 1,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4">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4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4.59</w:t>
      </w:r>
      <w:r>
        <w:rPr>
          <w:sz w:val="20"/>
          <w:szCs w:val="20"/>
          <w:color w:val="auto"/>
        </w:rPr>
        <w:tab/>
      </w:r>
      <w:hyperlink r:id="rId305">
        <w:r>
          <w:rPr>
            <w:rFonts w:ascii="Arial" w:cs="Arial" w:eastAsia="Arial" w:hAnsi="Arial"/>
            <w:sz w:val="20"/>
            <w:szCs w:val="20"/>
            <w:u w:val="single" w:color="auto"/>
            <w:color w:val="0000FF"/>
          </w:rPr>
          <w:t>Supplemental Indenture, dated as of September 30, 2021, among Scientific Games International, Inc., as issuer, Scientific</w:t>
        </w:r>
      </w:hyperlink>
      <w:r>
        <w:rPr>
          <w:rFonts w:ascii="Arial" w:cs="Arial" w:eastAsia="Arial" w:hAnsi="Arial"/>
          <w:sz w:val="20"/>
          <w:szCs w:val="20"/>
          <w:u w:val="single" w:color="auto"/>
          <w:color w:val="0000FF"/>
        </w:rPr>
        <w:t xml:space="preserve"> </w:t>
      </w:r>
      <w:hyperlink r:id="rId305">
        <w:r>
          <w:rPr>
            <w:rFonts w:ascii="Arial" w:cs="Arial" w:eastAsia="Arial" w:hAnsi="Arial"/>
            <w:sz w:val="20"/>
            <w:szCs w:val="20"/>
            <w:u w:val="single" w:color="auto"/>
            <w:color w:val="0000FF"/>
          </w:rPr>
          <w:t>Games Corporation, the other guarantors party thereto, and Deutsche Bank Trust Company Americas, as trustee, relating to</w:t>
        </w:r>
      </w:hyperlink>
      <w:r>
        <w:rPr>
          <w:rFonts w:ascii="Arial" w:cs="Arial" w:eastAsia="Arial" w:hAnsi="Arial"/>
          <w:sz w:val="20"/>
          <w:szCs w:val="20"/>
          <w:u w:val="single" w:color="auto"/>
          <w:color w:val="0000FF"/>
        </w:rPr>
        <w:t xml:space="preserve"> </w:t>
      </w:r>
      <w:hyperlink r:id="rId305">
        <w:r>
          <w:rPr>
            <w:rFonts w:ascii="Arial" w:cs="Arial" w:eastAsia="Arial" w:hAnsi="Arial"/>
            <w:sz w:val="20"/>
            <w:szCs w:val="20"/>
            <w:u w:val="single" w:color="auto"/>
            <w:color w:val="0000FF"/>
          </w:rPr>
          <w:t>the Indenture, dated as of February 14, 2018, as amended and supplemented, relating to the 5.500% Senior Unsecured Notes</w:t>
        </w:r>
      </w:hyperlink>
      <w:r>
        <w:rPr>
          <w:rFonts w:ascii="Arial" w:cs="Arial" w:eastAsia="Arial" w:hAnsi="Arial"/>
          <w:sz w:val="20"/>
          <w:szCs w:val="20"/>
          <w:u w:val="single" w:color="auto"/>
          <w:color w:val="0000FF"/>
        </w:rPr>
        <w:t xml:space="preserve"> </w:t>
      </w:r>
      <w:hyperlink r:id="rId305">
        <w:r>
          <w:rPr>
            <w:rFonts w:ascii="Arial" w:cs="Arial" w:eastAsia="Arial" w:hAnsi="Arial"/>
            <w:sz w:val="20"/>
            <w:szCs w:val="20"/>
            <w:u w:val="single" w:color="auto"/>
            <w:color w:val="0000FF"/>
          </w:rPr>
          <w:t>due 2026 (incorporated by reference to Exhibit 4.4 to Scientific Games Corporation’s Current Report on Form 8-K filed on</w:t>
        </w:r>
      </w:hyperlink>
      <w:r>
        <w:rPr>
          <w:rFonts w:ascii="Arial" w:cs="Arial" w:eastAsia="Arial" w:hAnsi="Arial"/>
          <w:sz w:val="20"/>
          <w:szCs w:val="20"/>
          <w:u w:val="single" w:color="auto"/>
          <w:color w:val="0000FF"/>
        </w:rPr>
        <w:t xml:space="preserve"> </w:t>
      </w:r>
      <w:hyperlink r:id="rId305">
        <w:r>
          <w:rPr>
            <w:rFonts w:ascii="Arial" w:cs="Arial" w:eastAsia="Arial" w:hAnsi="Arial"/>
            <w:sz w:val="20"/>
            <w:szCs w:val="20"/>
            <w:u w:val="single" w:color="auto"/>
            <w:color w:val="0000FF"/>
          </w:rPr>
          <w:t>October 1,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6">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12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4.60</w:t>
      </w:r>
      <w:r>
        <w:rPr>
          <w:sz w:val="20"/>
          <w:szCs w:val="20"/>
          <w:color w:val="auto"/>
        </w:rPr>
        <w:tab/>
      </w:r>
      <w:hyperlink r:id="rId307">
        <w:r>
          <w:rPr>
            <w:rFonts w:ascii="Arial" w:cs="Arial" w:eastAsia="Arial" w:hAnsi="Arial"/>
            <w:sz w:val="20"/>
            <w:szCs w:val="20"/>
            <w:u w:val="single" w:color="auto"/>
            <w:color w:val="0000FF"/>
          </w:rPr>
          <w:t>Supplemental Indenture, dated as of September 30, 2021, among Scientific Games International, Inc., as issuer, Scientific</w:t>
        </w:r>
      </w:hyperlink>
      <w:r>
        <w:rPr>
          <w:rFonts w:ascii="Arial" w:cs="Arial" w:eastAsia="Arial" w:hAnsi="Arial"/>
          <w:sz w:val="20"/>
          <w:szCs w:val="20"/>
          <w:u w:val="single" w:color="auto"/>
          <w:color w:val="0000FF"/>
        </w:rPr>
        <w:t xml:space="preserve"> </w:t>
      </w:r>
      <w:hyperlink r:id="rId307">
        <w:r>
          <w:rPr>
            <w:rFonts w:ascii="Arial" w:cs="Arial" w:eastAsia="Arial" w:hAnsi="Arial"/>
            <w:sz w:val="20"/>
            <w:szCs w:val="20"/>
            <w:u w:val="single" w:color="auto"/>
            <w:color w:val="0000FF"/>
          </w:rPr>
          <w:t>Games Corporation, the other guarantors party thereto, and Deutsche Bank Trust Company Americas, as trustee, relating to</w:t>
        </w:r>
      </w:hyperlink>
      <w:r>
        <w:rPr>
          <w:rFonts w:ascii="Arial" w:cs="Arial" w:eastAsia="Arial" w:hAnsi="Arial"/>
          <w:sz w:val="20"/>
          <w:szCs w:val="20"/>
          <w:u w:val="single" w:color="auto"/>
          <w:color w:val="0000FF"/>
        </w:rPr>
        <w:t xml:space="preserve"> </w:t>
      </w:r>
      <w:hyperlink r:id="rId307">
        <w:r>
          <w:rPr>
            <w:rFonts w:ascii="Arial" w:cs="Arial" w:eastAsia="Arial" w:hAnsi="Arial"/>
            <w:sz w:val="20"/>
            <w:szCs w:val="20"/>
            <w:u w:val="single" w:color="auto"/>
            <w:color w:val="0000FF"/>
          </w:rPr>
          <w:t>the Indenture, dated as of March 19, 2019, as amended and supplemented, relating to the 8.250% Senior Unsecured Notes</w:t>
        </w:r>
      </w:hyperlink>
      <w:r>
        <w:rPr>
          <w:rFonts w:ascii="Arial" w:cs="Arial" w:eastAsia="Arial" w:hAnsi="Arial"/>
          <w:sz w:val="20"/>
          <w:szCs w:val="20"/>
          <w:u w:val="single" w:color="auto"/>
          <w:color w:val="0000FF"/>
        </w:rPr>
        <w:t xml:space="preserve"> </w:t>
      </w:r>
      <w:hyperlink r:id="rId307">
        <w:r>
          <w:rPr>
            <w:rFonts w:ascii="Arial" w:cs="Arial" w:eastAsia="Arial" w:hAnsi="Arial"/>
            <w:sz w:val="20"/>
            <w:szCs w:val="20"/>
            <w:u w:val="single" w:color="auto"/>
            <w:color w:val="0000FF"/>
          </w:rPr>
          <w:t>due 2026 (incorporated by reference to Exhibit 4.5 to Scientific Games Corporation’s Current Report on Form 8-K filed on</w:t>
        </w:r>
      </w:hyperlink>
      <w:r>
        <w:rPr>
          <w:rFonts w:ascii="Arial" w:cs="Arial" w:eastAsia="Arial" w:hAnsi="Arial"/>
          <w:sz w:val="20"/>
          <w:szCs w:val="20"/>
          <w:u w:val="single" w:color="auto"/>
          <w:color w:val="0000FF"/>
        </w:rPr>
        <w:t xml:space="preserve"> </w:t>
      </w:r>
      <w:hyperlink r:id="rId307">
        <w:r>
          <w:rPr>
            <w:rFonts w:ascii="Arial" w:cs="Arial" w:eastAsia="Arial" w:hAnsi="Arial"/>
            <w:sz w:val="20"/>
            <w:szCs w:val="20"/>
            <w:u w:val="single" w:color="auto"/>
            <w:color w:val="0000FF"/>
          </w:rPr>
          <w:t>October 1,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8">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12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4.61</w:t>
      </w:r>
      <w:r>
        <w:rPr>
          <w:sz w:val="20"/>
          <w:szCs w:val="20"/>
          <w:color w:val="auto"/>
        </w:rPr>
        <w:tab/>
      </w:r>
      <w:hyperlink r:id="rId309">
        <w:r>
          <w:rPr>
            <w:rFonts w:ascii="Arial" w:cs="Arial" w:eastAsia="Arial" w:hAnsi="Arial"/>
            <w:sz w:val="20"/>
            <w:szCs w:val="20"/>
            <w:u w:val="single" w:color="auto"/>
            <w:color w:val="0000FF"/>
          </w:rPr>
          <w:t>Supplemental Indenture, dated as of September 30, 2021, among Scientific Games International, Inc., as issuer, Scientific</w:t>
        </w:r>
      </w:hyperlink>
      <w:r>
        <w:rPr>
          <w:rFonts w:ascii="Arial" w:cs="Arial" w:eastAsia="Arial" w:hAnsi="Arial"/>
          <w:sz w:val="20"/>
          <w:szCs w:val="20"/>
          <w:u w:val="single" w:color="auto"/>
          <w:color w:val="0000FF"/>
        </w:rPr>
        <w:t xml:space="preserve"> </w:t>
      </w:r>
      <w:hyperlink r:id="rId309">
        <w:r>
          <w:rPr>
            <w:rFonts w:ascii="Arial" w:cs="Arial" w:eastAsia="Arial" w:hAnsi="Arial"/>
            <w:sz w:val="20"/>
            <w:szCs w:val="20"/>
            <w:u w:val="single" w:color="auto"/>
            <w:color w:val="0000FF"/>
          </w:rPr>
          <w:t>Games Corporation, the other guarantors party thereto, and Deutsche Bank Trust Company Americas, as trustee, relating to</w:t>
        </w:r>
      </w:hyperlink>
      <w:r>
        <w:rPr>
          <w:rFonts w:ascii="Arial" w:cs="Arial" w:eastAsia="Arial" w:hAnsi="Arial"/>
          <w:sz w:val="20"/>
          <w:szCs w:val="20"/>
          <w:u w:val="single" w:color="auto"/>
          <w:color w:val="0000FF"/>
        </w:rPr>
        <w:t xml:space="preserve"> </w:t>
      </w:r>
      <w:hyperlink r:id="rId309">
        <w:r>
          <w:rPr>
            <w:rFonts w:ascii="Arial" w:cs="Arial" w:eastAsia="Arial" w:hAnsi="Arial"/>
            <w:sz w:val="20"/>
            <w:szCs w:val="20"/>
            <w:u w:val="single" w:color="auto"/>
            <w:color w:val="0000FF"/>
          </w:rPr>
          <w:t>the Indenture, dated as of November 26, 2019, as amended and supplemented, relating to the 7.000% Senior Unsecured</w:t>
        </w:r>
      </w:hyperlink>
      <w:r>
        <w:rPr>
          <w:rFonts w:ascii="Arial" w:cs="Arial" w:eastAsia="Arial" w:hAnsi="Arial"/>
          <w:sz w:val="20"/>
          <w:szCs w:val="20"/>
          <w:u w:val="single" w:color="auto"/>
          <w:color w:val="0000FF"/>
        </w:rPr>
        <w:t xml:space="preserve"> </w:t>
      </w:r>
      <w:hyperlink r:id="rId309">
        <w:r>
          <w:rPr>
            <w:rFonts w:ascii="Arial" w:cs="Arial" w:eastAsia="Arial" w:hAnsi="Arial"/>
            <w:sz w:val="20"/>
            <w:szCs w:val="20"/>
            <w:u w:val="single" w:color="auto"/>
            <w:color w:val="0000FF"/>
          </w:rPr>
          <w:t>Notes due 2028 (incorporated by reference to Exhibit 4.6 to Scientific Games Corporation’s Current Report on Form 8-K</w:t>
        </w:r>
      </w:hyperlink>
      <w:r>
        <w:rPr>
          <w:rFonts w:ascii="Arial" w:cs="Arial" w:eastAsia="Arial" w:hAnsi="Arial"/>
          <w:sz w:val="20"/>
          <w:szCs w:val="20"/>
          <w:u w:val="single" w:color="auto"/>
          <w:color w:val="0000FF"/>
        </w:rPr>
        <w:t xml:space="preserve"> </w:t>
      </w:r>
      <w:hyperlink r:id="rId309">
        <w:r>
          <w:rPr>
            <w:rFonts w:ascii="Arial" w:cs="Arial" w:eastAsia="Arial" w:hAnsi="Arial"/>
            <w:sz w:val="20"/>
            <w:szCs w:val="20"/>
            <w:u w:val="single" w:color="auto"/>
            <w:color w:val="0000FF"/>
          </w:rPr>
          <w:t>filed on October 1,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0">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right="120" w:hanging="879"/>
        <w:spacing w:after="0" w:line="210"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4.62</w:t>
      </w:r>
      <w:r>
        <w:rPr>
          <w:sz w:val="20"/>
          <w:szCs w:val="20"/>
          <w:color w:val="auto"/>
        </w:rPr>
        <w:tab/>
      </w:r>
      <w:hyperlink r:id="rId311">
        <w:r>
          <w:rPr>
            <w:rFonts w:ascii="Arial" w:cs="Arial" w:eastAsia="Arial" w:hAnsi="Arial"/>
            <w:sz w:val="20"/>
            <w:szCs w:val="20"/>
            <w:u w:val="single" w:color="auto"/>
            <w:color w:val="0000FF"/>
          </w:rPr>
          <w:t>Supplemental Indenture, dated as of September 30, 2021, among Scientific Games International, Inc., as issuer, Scientific</w:t>
        </w:r>
      </w:hyperlink>
      <w:r>
        <w:rPr>
          <w:rFonts w:ascii="Arial" w:cs="Arial" w:eastAsia="Arial" w:hAnsi="Arial"/>
          <w:sz w:val="20"/>
          <w:szCs w:val="20"/>
          <w:u w:val="single" w:color="auto"/>
          <w:color w:val="0000FF"/>
        </w:rPr>
        <w:t xml:space="preserve"> </w:t>
      </w:r>
      <w:hyperlink r:id="rId311">
        <w:r>
          <w:rPr>
            <w:rFonts w:ascii="Arial" w:cs="Arial" w:eastAsia="Arial" w:hAnsi="Arial"/>
            <w:sz w:val="20"/>
            <w:szCs w:val="20"/>
            <w:u w:val="single" w:color="auto"/>
            <w:color w:val="0000FF"/>
          </w:rPr>
          <w:t>Games Corporation, the other guarantors party thereto, and Deutsche Bank Trust Company Americas, as trustee, relating to</w:t>
        </w:r>
      </w:hyperlink>
      <w:r>
        <w:rPr>
          <w:rFonts w:ascii="Arial" w:cs="Arial" w:eastAsia="Arial" w:hAnsi="Arial"/>
          <w:sz w:val="20"/>
          <w:szCs w:val="20"/>
          <w:u w:val="single" w:color="auto"/>
          <w:color w:val="0000FF"/>
        </w:rPr>
        <w:t xml:space="preserve"> </w:t>
      </w:r>
      <w:hyperlink r:id="rId311">
        <w:r>
          <w:rPr>
            <w:rFonts w:ascii="Arial" w:cs="Arial" w:eastAsia="Arial" w:hAnsi="Arial"/>
            <w:sz w:val="20"/>
            <w:szCs w:val="20"/>
            <w:u w:val="single" w:color="auto"/>
            <w:color w:val="0000FF"/>
          </w:rPr>
          <w:t>the Indenture, dated as of November 26, 2019, as amended and supplemented, relating to the 7.250% Senior Unsecured</w:t>
        </w:r>
      </w:hyperlink>
      <w:r>
        <w:rPr>
          <w:rFonts w:ascii="Arial" w:cs="Arial" w:eastAsia="Arial" w:hAnsi="Arial"/>
          <w:sz w:val="20"/>
          <w:szCs w:val="20"/>
          <w:u w:val="single" w:color="auto"/>
          <w:color w:val="0000FF"/>
        </w:rPr>
        <w:t xml:space="preserve"> </w:t>
      </w:r>
      <w:hyperlink r:id="rId311">
        <w:r>
          <w:rPr>
            <w:rFonts w:ascii="Arial" w:cs="Arial" w:eastAsia="Arial" w:hAnsi="Arial"/>
            <w:sz w:val="20"/>
            <w:szCs w:val="20"/>
            <w:u w:val="single" w:color="auto"/>
            <w:color w:val="0000FF"/>
          </w:rPr>
          <w:t>Notes due 2029 (incorporated by reference to Exhibit 4.7 to Scientific Games Corporation’s Current Report on Form 8-K</w:t>
        </w:r>
      </w:hyperlink>
      <w:r>
        <w:rPr>
          <w:rFonts w:ascii="Arial" w:cs="Arial" w:eastAsia="Arial" w:hAnsi="Arial"/>
          <w:sz w:val="20"/>
          <w:szCs w:val="20"/>
          <w:u w:val="single" w:color="auto"/>
          <w:color w:val="0000FF"/>
        </w:rPr>
        <w:t xml:space="preserve"> </w:t>
      </w:r>
      <w:hyperlink r:id="rId311">
        <w:r>
          <w:rPr>
            <w:rFonts w:ascii="Arial" w:cs="Arial" w:eastAsia="Arial" w:hAnsi="Arial"/>
            <w:sz w:val="20"/>
            <w:szCs w:val="20"/>
            <w:u w:val="single" w:color="auto"/>
            <w:color w:val="0000FF"/>
          </w:rPr>
          <w:t>filed on October 1,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2">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5" w:lineRule="exact"/>
        <w:rPr>
          <w:rFonts w:ascii="Arial" w:cs="Arial" w:eastAsia="Arial" w:hAnsi="Arial"/>
          <w:sz w:val="20"/>
          <w:szCs w:val="20"/>
          <w:u w:val="single" w:color="auto"/>
          <w:color w:val="0000FF"/>
        </w:rPr>
      </w:pPr>
    </w:p>
    <w:p>
      <w:pPr>
        <w:ind w:left="88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4.63</w:t>
      </w:r>
      <w:r>
        <w:rPr>
          <w:sz w:val="20"/>
          <w:szCs w:val="20"/>
          <w:color w:val="auto"/>
        </w:rPr>
        <w:tab/>
      </w:r>
      <w:hyperlink w:anchor="page150">
        <w:r>
          <w:rPr>
            <w:rFonts w:ascii="Arial" w:cs="Arial" w:eastAsia="Arial" w:hAnsi="Arial"/>
            <w:sz w:val="20"/>
            <w:szCs w:val="20"/>
            <w:u w:val="single" w:color="auto"/>
            <w:color w:val="0000FF"/>
          </w:rPr>
          <w:t>Supplemental Indenture, dated as of October 19, 2021, among Scientific Games International, Inc., as issuer, Scientific</w:t>
        </w:r>
      </w:hyperlink>
      <w:r>
        <w:rPr>
          <w:rFonts w:ascii="Arial" w:cs="Arial" w:eastAsia="Arial" w:hAnsi="Arial"/>
          <w:sz w:val="20"/>
          <w:szCs w:val="20"/>
          <w:u w:val="single" w:color="auto"/>
          <w:color w:val="0000FF"/>
        </w:rPr>
        <w:t xml:space="preserve"> </w:t>
      </w:r>
      <w:hyperlink w:anchor="page150">
        <w:r>
          <w:rPr>
            <w:rFonts w:ascii="Arial" w:cs="Arial" w:eastAsia="Arial" w:hAnsi="Arial"/>
            <w:sz w:val="20"/>
            <w:szCs w:val="20"/>
            <w:u w:val="single" w:color="auto"/>
            <w:color w:val="0000FF"/>
          </w:rPr>
          <w:t>Games Corporation, the other guarantors party thereto, and Deutsche Bank Trust Company Americas, as trustee, relating to</w:t>
        </w:r>
      </w:hyperlink>
      <w:r>
        <w:rPr>
          <w:rFonts w:ascii="Arial" w:cs="Arial" w:eastAsia="Arial" w:hAnsi="Arial"/>
          <w:sz w:val="20"/>
          <w:szCs w:val="20"/>
          <w:u w:val="single" w:color="auto"/>
          <w:color w:val="0000FF"/>
        </w:rPr>
        <w:t xml:space="preserve"> </w:t>
      </w:r>
      <w:hyperlink w:anchor="page150">
        <w:r>
          <w:rPr>
            <w:rFonts w:ascii="Arial" w:cs="Arial" w:eastAsia="Arial" w:hAnsi="Arial"/>
            <w:sz w:val="20"/>
            <w:szCs w:val="20"/>
            <w:u w:val="single" w:color="auto"/>
            <w:color w:val="0000FF"/>
          </w:rPr>
          <w:t>the Indenture, dated as of October 17, 2017, as amended and supplemented, relating to the 5.000% Senior Secured Notes due</w:t>
        </w:r>
      </w:hyperlink>
      <w:r>
        <w:rPr>
          <w:rFonts w:ascii="Arial" w:cs="Arial" w:eastAsia="Arial" w:hAnsi="Arial"/>
          <w:sz w:val="20"/>
          <w:szCs w:val="20"/>
          <w:u w:val="single" w:color="auto"/>
          <w:color w:val="0000FF"/>
        </w:rPr>
        <w:t xml:space="preserve"> </w:t>
      </w:r>
      <w:hyperlink w:anchor="page150">
        <w:r>
          <w:rPr>
            <w:rFonts w:ascii="Arial" w:cs="Arial" w:eastAsia="Arial" w:hAnsi="Arial"/>
            <w:sz w:val="20"/>
            <w:szCs w:val="20"/>
            <w:u w:val="single" w:color="auto"/>
            <w:color w:val="0000FF"/>
          </w:rPr>
          <w:t>2025.(†)</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3">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80" w:right="12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4.64</w:t>
      </w:r>
      <w:r>
        <w:rPr>
          <w:sz w:val="20"/>
          <w:szCs w:val="20"/>
          <w:color w:val="auto"/>
        </w:rPr>
        <w:tab/>
      </w:r>
      <w:hyperlink w:anchor="page155">
        <w:r>
          <w:rPr>
            <w:rFonts w:ascii="Arial" w:cs="Arial" w:eastAsia="Arial" w:hAnsi="Arial"/>
            <w:sz w:val="20"/>
            <w:szCs w:val="20"/>
            <w:u w:val="single" w:color="auto"/>
            <w:color w:val="0000FF"/>
          </w:rPr>
          <w:t>Supplemental Indenture, dated as of October 19, 2021, among Scientific Games International, Inc., as issuer, Scientific</w:t>
        </w:r>
      </w:hyperlink>
      <w:r>
        <w:rPr>
          <w:rFonts w:ascii="Arial" w:cs="Arial" w:eastAsia="Arial" w:hAnsi="Arial"/>
          <w:sz w:val="20"/>
          <w:szCs w:val="20"/>
          <w:u w:val="single" w:color="auto"/>
          <w:color w:val="0000FF"/>
        </w:rPr>
        <w:t xml:space="preserve"> </w:t>
      </w:r>
      <w:hyperlink w:anchor="page155">
        <w:r>
          <w:rPr>
            <w:rFonts w:ascii="Arial" w:cs="Arial" w:eastAsia="Arial" w:hAnsi="Arial"/>
            <w:sz w:val="20"/>
            <w:szCs w:val="20"/>
            <w:u w:val="single" w:color="auto"/>
            <w:color w:val="0000FF"/>
          </w:rPr>
          <w:t>Games Corporation, the other guarantors party thereto, and Deutsche Bank Trust Company Americas, as trustee, relating to</w:t>
        </w:r>
      </w:hyperlink>
      <w:r>
        <w:rPr>
          <w:rFonts w:ascii="Arial" w:cs="Arial" w:eastAsia="Arial" w:hAnsi="Arial"/>
          <w:sz w:val="20"/>
          <w:szCs w:val="20"/>
          <w:u w:val="single" w:color="auto"/>
          <w:color w:val="0000FF"/>
        </w:rPr>
        <w:t xml:space="preserve"> </w:t>
      </w:r>
      <w:hyperlink w:anchor="page155">
        <w:r>
          <w:rPr>
            <w:rFonts w:ascii="Arial" w:cs="Arial" w:eastAsia="Arial" w:hAnsi="Arial"/>
            <w:sz w:val="20"/>
            <w:szCs w:val="20"/>
            <w:u w:val="single" w:color="auto"/>
            <w:color w:val="0000FF"/>
          </w:rPr>
          <w:t>the Indenture, dated as of July 1, 2020, as amended and supplemented, relating to the 8.625% Senior Unsecured Notes due</w:t>
        </w:r>
      </w:hyperlink>
      <w:r>
        <w:rPr>
          <w:rFonts w:ascii="Arial" w:cs="Arial" w:eastAsia="Arial" w:hAnsi="Arial"/>
          <w:sz w:val="20"/>
          <w:szCs w:val="20"/>
          <w:u w:val="single" w:color="auto"/>
          <w:color w:val="0000FF"/>
        </w:rPr>
        <w:t xml:space="preserve"> </w:t>
      </w:r>
      <w:hyperlink w:anchor="page155">
        <w:r>
          <w:rPr>
            <w:rFonts w:ascii="Arial" w:cs="Arial" w:eastAsia="Arial" w:hAnsi="Arial"/>
            <w:sz w:val="20"/>
            <w:szCs w:val="20"/>
            <w:u w:val="single" w:color="auto"/>
            <w:color w:val="0000FF"/>
          </w:rPr>
          <w:t>2025.(†)</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4">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80" w:right="4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4.65</w:t>
      </w:r>
      <w:r>
        <w:rPr>
          <w:sz w:val="20"/>
          <w:szCs w:val="20"/>
          <w:color w:val="auto"/>
        </w:rPr>
        <w:tab/>
      </w:r>
      <w:hyperlink w:anchor="page160">
        <w:r>
          <w:rPr>
            <w:rFonts w:ascii="Arial" w:cs="Arial" w:eastAsia="Arial" w:hAnsi="Arial"/>
            <w:sz w:val="20"/>
            <w:szCs w:val="20"/>
            <w:u w:val="single" w:color="auto"/>
            <w:color w:val="0000FF"/>
          </w:rPr>
          <w:t>Supplemental Indenture, dated as of October 19, 2021, among Scientific Games International, Inc., as issuer, Scientific</w:t>
        </w:r>
      </w:hyperlink>
      <w:r>
        <w:rPr>
          <w:rFonts w:ascii="Arial" w:cs="Arial" w:eastAsia="Arial" w:hAnsi="Arial"/>
          <w:sz w:val="20"/>
          <w:szCs w:val="20"/>
          <w:u w:val="single" w:color="auto"/>
          <w:color w:val="0000FF"/>
        </w:rPr>
        <w:t xml:space="preserve"> </w:t>
      </w:r>
      <w:hyperlink w:anchor="page160">
        <w:r>
          <w:rPr>
            <w:rFonts w:ascii="Arial" w:cs="Arial" w:eastAsia="Arial" w:hAnsi="Arial"/>
            <w:sz w:val="20"/>
            <w:szCs w:val="20"/>
            <w:u w:val="single" w:color="auto"/>
            <w:color w:val="0000FF"/>
          </w:rPr>
          <w:t>Games Corporation, the other guarantors party thereto, and Deutsche Bank Trust Company Americas, as trustee, relating to</w:t>
        </w:r>
      </w:hyperlink>
      <w:r>
        <w:rPr>
          <w:rFonts w:ascii="Arial" w:cs="Arial" w:eastAsia="Arial" w:hAnsi="Arial"/>
          <w:sz w:val="20"/>
          <w:szCs w:val="20"/>
          <w:u w:val="single" w:color="auto"/>
          <w:color w:val="0000FF"/>
        </w:rPr>
        <w:t xml:space="preserve"> </w:t>
      </w:r>
      <w:hyperlink w:anchor="page160">
        <w:r>
          <w:rPr>
            <w:rFonts w:ascii="Arial" w:cs="Arial" w:eastAsia="Arial" w:hAnsi="Arial"/>
            <w:sz w:val="20"/>
            <w:szCs w:val="20"/>
            <w:u w:val="single" w:color="auto"/>
            <w:color w:val="0000FF"/>
          </w:rPr>
          <w:t>the Indenture, dated as of February 14, 2018, as amended and supplemented, relating to the 5.500% Senior Unsecured Notes</w:t>
        </w:r>
      </w:hyperlink>
      <w:r>
        <w:rPr>
          <w:rFonts w:ascii="Arial" w:cs="Arial" w:eastAsia="Arial" w:hAnsi="Arial"/>
          <w:sz w:val="20"/>
          <w:szCs w:val="20"/>
          <w:u w:val="single" w:color="auto"/>
          <w:color w:val="0000FF"/>
        </w:rPr>
        <w:t xml:space="preserve"> </w:t>
      </w:r>
      <w:hyperlink w:anchor="page160">
        <w:r>
          <w:rPr>
            <w:rFonts w:ascii="Arial" w:cs="Arial" w:eastAsia="Arial" w:hAnsi="Arial"/>
            <w:sz w:val="20"/>
            <w:szCs w:val="20"/>
            <w:u w:val="single" w:color="auto"/>
            <w:color w:val="0000FF"/>
          </w:rPr>
          <w:t>due 2026.(†)</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5">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80" w:right="12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4.66</w:t>
      </w:r>
      <w:r>
        <w:rPr>
          <w:sz w:val="20"/>
          <w:szCs w:val="20"/>
          <w:color w:val="auto"/>
        </w:rPr>
        <w:tab/>
      </w:r>
      <w:hyperlink w:anchor="page165">
        <w:r>
          <w:rPr>
            <w:rFonts w:ascii="Arial" w:cs="Arial" w:eastAsia="Arial" w:hAnsi="Arial"/>
            <w:sz w:val="20"/>
            <w:szCs w:val="20"/>
            <w:u w:val="single" w:color="auto"/>
            <w:color w:val="0000FF"/>
          </w:rPr>
          <w:t>Supplemental Indenture, dated as of October 19, 2021, among Scientific Games International, Inc., as issuer, Scientific</w:t>
        </w:r>
      </w:hyperlink>
      <w:r>
        <w:rPr>
          <w:rFonts w:ascii="Arial" w:cs="Arial" w:eastAsia="Arial" w:hAnsi="Arial"/>
          <w:sz w:val="20"/>
          <w:szCs w:val="20"/>
          <w:u w:val="single" w:color="auto"/>
          <w:color w:val="0000FF"/>
        </w:rPr>
        <w:t xml:space="preserve"> </w:t>
      </w:r>
      <w:hyperlink w:anchor="page165">
        <w:r>
          <w:rPr>
            <w:rFonts w:ascii="Arial" w:cs="Arial" w:eastAsia="Arial" w:hAnsi="Arial"/>
            <w:sz w:val="20"/>
            <w:szCs w:val="20"/>
            <w:u w:val="single" w:color="auto"/>
            <w:color w:val="0000FF"/>
          </w:rPr>
          <w:t>Games Corporation, the other guarantors party thereto, and Deutsche Bank Trust Company Americas, as trustee, relating to</w:t>
        </w:r>
      </w:hyperlink>
      <w:r>
        <w:rPr>
          <w:rFonts w:ascii="Arial" w:cs="Arial" w:eastAsia="Arial" w:hAnsi="Arial"/>
          <w:sz w:val="20"/>
          <w:szCs w:val="20"/>
          <w:u w:val="single" w:color="auto"/>
          <w:color w:val="0000FF"/>
        </w:rPr>
        <w:t xml:space="preserve"> </w:t>
      </w:r>
      <w:hyperlink w:anchor="page165">
        <w:r>
          <w:rPr>
            <w:rFonts w:ascii="Arial" w:cs="Arial" w:eastAsia="Arial" w:hAnsi="Arial"/>
            <w:sz w:val="20"/>
            <w:szCs w:val="20"/>
            <w:u w:val="single" w:color="auto"/>
            <w:color w:val="0000FF"/>
          </w:rPr>
          <w:t>the Indenture, dated as of February 14, 2018, as amended and supplemented, relating to the 3.375% Senior Secured Notes</w:t>
        </w:r>
      </w:hyperlink>
      <w:r>
        <w:rPr>
          <w:rFonts w:ascii="Arial" w:cs="Arial" w:eastAsia="Arial" w:hAnsi="Arial"/>
          <w:sz w:val="20"/>
          <w:szCs w:val="20"/>
          <w:u w:val="single" w:color="auto"/>
          <w:color w:val="0000FF"/>
        </w:rPr>
        <w:t xml:space="preserve"> </w:t>
      </w:r>
      <w:hyperlink w:anchor="page165">
        <w:r>
          <w:rPr>
            <w:rFonts w:ascii="Arial" w:cs="Arial" w:eastAsia="Arial" w:hAnsi="Arial"/>
            <w:sz w:val="20"/>
            <w:szCs w:val="20"/>
            <w:u w:val="single" w:color="auto"/>
            <w:color w:val="0000FF"/>
          </w:rPr>
          <w:t>due 2026.(†)</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6">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80" w:right="12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4.67</w:t>
      </w:r>
      <w:r>
        <w:rPr>
          <w:sz w:val="20"/>
          <w:szCs w:val="20"/>
          <w:color w:val="auto"/>
        </w:rPr>
        <w:tab/>
      </w:r>
      <w:hyperlink w:anchor="page170">
        <w:r>
          <w:rPr>
            <w:rFonts w:ascii="Arial" w:cs="Arial" w:eastAsia="Arial" w:hAnsi="Arial"/>
            <w:sz w:val="20"/>
            <w:szCs w:val="20"/>
            <w:u w:val="single" w:color="auto"/>
            <w:color w:val="0000FF"/>
          </w:rPr>
          <w:t>Supplemental Indenture, dated as of October 19, 2021, among Scientific Games International, Inc., as issuer, Scientific</w:t>
        </w:r>
      </w:hyperlink>
      <w:r>
        <w:rPr>
          <w:rFonts w:ascii="Arial" w:cs="Arial" w:eastAsia="Arial" w:hAnsi="Arial"/>
          <w:sz w:val="20"/>
          <w:szCs w:val="20"/>
          <w:u w:val="single" w:color="auto"/>
          <w:color w:val="0000FF"/>
        </w:rPr>
        <w:t xml:space="preserve"> </w:t>
      </w:r>
      <w:hyperlink w:anchor="page170">
        <w:r>
          <w:rPr>
            <w:rFonts w:ascii="Arial" w:cs="Arial" w:eastAsia="Arial" w:hAnsi="Arial"/>
            <w:sz w:val="20"/>
            <w:szCs w:val="20"/>
            <w:u w:val="single" w:color="auto"/>
            <w:color w:val="0000FF"/>
          </w:rPr>
          <w:t>Games Corporation, the other guarantors party thereto, and Deutsche Bank Trust Company Americas, as trustee, relating to</w:t>
        </w:r>
      </w:hyperlink>
      <w:r>
        <w:rPr>
          <w:rFonts w:ascii="Arial" w:cs="Arial" w:eastAsia="Arial" w:hAnsi="Arial"/>
          <w:sz w:val="20"/>
          <w:szCs w:val="20"/>
          <w:u w:val="single" w:color="auto"/>
          <w:color w:val="0000FF"/>
        </w:rPr>
        <w:t xml:space="preserve"> </w:t>
      </w:r>
      <w:hyperlink w:anchor="page170">
        <w:r>
          <w:rPr>
            <w:rFonts w:ascii="Arial" w:cs="Arial" w:eastAsia="Arial" w:hAnsi="Arial"/>
            <w:sz w:val="20"/>
            <w:szCs w:val="20"/>
            <w:u w:val="single" w:color="auto"/>
            <w:color w:val="0000FF"/>
          </w:rPr>
          <w:t>the Indenture, dated as of March 19, 2019, as amended and supplemented, relating to the 8.250% Senior Unsecured Notes</w:t>
        </w:r>
      </w:hyperlink>
      <w:r>
        <w:rPr>
          <w:rFonts w:ascii="Arial" w:cs="Arial" w:eastAsia="Arial" w:hAnsi="Arial"/>
          <w:sz w:val="20"/>
          <w:szCs w:val="20"/>
          <w:u w:val="single" w:color="auto"/>
          <w:color w:val="0000FF"/>
        </w:rPr>
        <w:t xml:space="preserve"> </w:t>
      </w:r>
      <w:hyperlink w:anchor="page170">
        <w:r>
          <w:rPr>
            <w:rFonts w:ascii="Arial" w:cs="Arial" w:eastAsia="Arial" w:hAnsi="Arial"/>
            <w:sz w:val="20"/>
            <w:szCs w:val="20"/>
            <w:u w:val="single" w:color="auto"/>
            <w:color w:val="0000FF"/>
          </w:rPr>
          <w:t>due 2026.(†)</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7">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67" w:lineRule="exact"/>
        <w:rPr>
          <w:rFonts w:ascii="Arial" w:cs="Arial" w:eastAsia="Arial" w:hAnsi="Arial"/>
          <w:sz w:val="20"/>
          <w:szCs w:val="20"/>
          <w:u w:val="single" w:color="auto"/>
          <w:color w:val="0000FF"/>
        </w:rPr>
      </w:pPr>
    </w:p>
    <w:p>
      <w:pPr>
        <w:jc w:val="center"/>
        <w:ind w:right="380"/>
        <w:spacing w:after="0"/>
        <w:rPr>
          <w:sz w:val="20"/>
          <w:szCs w:val="20"/>
          <w:color w:val="auto"/>
        </w:rPr>
      </w:pPr>
      <w:r>
        <w:rPr>
          <w:rFonts w:ascii="Arial" w:cs="Arial" w:eastAsia="Arial" w:hAnsi="Arial"/>
          <w:sz w:val="18"/>
          <w:szCs w:val="18"/>
          <w:color w:val="auto"/>
        </w:rPr>
        <w:t>140</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40" w:top="933" w:right="379" w:bottom="1440" w:gutter="0" w:footer="0" w:header="0"/>
        </w:sectPr>
      </w:pPr>
    </w:p>
    <w:bookmarkStart w:id="140" w:name="page141"/>
    <w:bookmarkEnd w:id="140"/>
    <w:p>
      <w:pPr>
        <w:ind w:left="880" w:right="14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4.68</w:t>
      </w:r>
      <w:r>
        <w:rPr>
          <w:sz w:val="20"/>
          <w:szCs w:val="20"/>
          <w:color w:val="auto"/>
        </w:rPr>
        <w:tab/>
      </w:r>
      <w:hyperlink w:anchor="page175">
        <w:r>
          <w:rPr>
            <w:rFonts w:ascii="Arial" w:cs="Arial" w:eastAsia="Arial" w:hAnsi="Arial"/>
            <w:sz w:val="20"/>
            <w:szCs w:val="20"/>
            <w:u w:val="single" w:color="auto"/>
            <w:color w:val="0000FF"/>
          </w:rPr>
          <w:t>Supplemental Indenture, dated as of October 19, 2021, among Scientific Games International, Inc., as issuer, Scientific</w:t>
        </w:r>
      </w:hyperlink>
      <w:r>
        <w:rPr>
          <w:rFonts w:ascii="Arial" w:cs="Arial" w:eastAsia="Arial" w:hAnsi="Arial"/>
          <w:sz w:val="20"/>
          <w:szCs w:val="20"/>
          <w:u w:val="single" w:color="auto"/>
          <w:color w:val="0000FF"/>
        </w:rPr>
        <w:t xml:space="preserve"> </w:t>
      </w:r>
      <w:hyperlink w:anchor="page175">
        <w:r>
          <w:rPr>
            <w:rFonts w:ascii="Arial" w:cs="Arial" w:eastAsia="Arial" w:hAnsi="Arial"/>
            <w:sz w:val="20"/>
            <w:szCs w:val="20"/>
            <w:u w:val="single" w:color="auto"/>
            <w:color w:val="0000FF"/>
          </w:rPr>
          <w:t>Games Corporation, the other guarantors party thereto, and Deutsche Bank Trust Company Americas, as trustee, relating to</w:t>
        </w:r>
      </w:hyperlink>
      <w:r>
        <w:rPr>
          <w:rFonts w:ascii="Arial" w:cs="Arial" w:eastAsia="Arial" w:hAnsi="Arial"/>
          <w:sz w:val="20"/>
          <w:szCs w:val="20"/>
          <w:u w:val="single" w:color="auto"/>
          <w:color w:val="0000FF"/>
        </w:rPr>
        <w:t xml:space="preserve"> </w:t>
      </w:r>
      <w:hyperlink w:anchor="page175">
        <w:r>
          <w:rPr>
            <w:rFonts w:ascii="Arial" w:cs="Arial" w:eastAsia="Arial" w:hAnsi="Arial"/>
            <w:sz w:val="20"/>
            <w:szCs w:val="20"/>
            <w:u w:val="single" w:color="auto"/>
            <w:color w:val="0000FF"/>
          </w:rPr>
          <w:t>the Indenture, dated as of November 26, 2019, as amended and supplemented, relating to the 7.000% Senior Unsecured</w:t>
        </w:r>
      </w:hyperlink>
      <w:r>
        <w:rPr>
          <w:rFonts w:ascii="Arial" w:cs="Arial" w:eastAsia="Arial" w:hAnsi="Arial"/>
          <w:sz w:val="20"/>
          <w:szCs w:val="20"/>
          <w:u w:val="single" w:color="auto"/>
          <w:color w:val="0000FF"/>
        </w:rPr>
        <w:t xml:space="preserve"> </w:t>
      </w:r>
      <w:hyperlink w:anchor="page175">
        <w:r>
          <w:rPr>
            <w:rFonts w:ascii="Arial" w:cs="Arial" w:eastAsia="Arial" w:hAnsi="Arial"/>
            <w:sz w:val="20"/>
            <w:szCs w:val="20"/>
            <w:u w:val="single" w:color="auto"/>
            <w:color w:val="0000FF"/>
          </w:rPr>
          <w:t>Notes due 2028.(†)</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9">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80" w:right="140" w:hanging="879"/>
        <w:spacing w:after="0" w:line="213"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4.69</w:t>
      </w:r>
      <w:r>
        <w:rPr>
          <w:sz w:val="20"/>
          <w:szCs w:val="20"/>
          <w:color w:val="auto"/>
        </w:rPr>
        <w:tab/>
      </w:r>
      <w:hyperlink w:anchor="page181">
        <w:r>
          <w:rPr>
            <w:rFonts w:ascii="Arial" w:cs="Arial" w:eastAsia="Arial" w:hAnsi="Arial"/>
            <w:sz w:val="20"/>
            <w:szCs w:val="20"/>
            <w:u w:val="single" w:color="auto"/>
            <w:color w:val="0000FF"/>
          </w:rPr>
          <w:t>Supplemental Indenture, dated as of October 19, 2021, among Scientific Games International, Inc., as issuer, Scientific</w:t>
        </w:r>
      </w:hyperlink>
      <w:r>
        <w:rPr>
          <w:rFonts w:ascii="Arial" w:cs="Arial" w:eastAsia="Arial" w:hAnsi="Arial"/>
          <w:sz w:val="20"/>
          <w:szCs w:val="20"/>
          <w:u w:val="single" w:color="auto"/>
          <w:color w:val="0000FF"/>
        </w:rPr>
        <w:t xml:space="preserve"> </w:t>
      </w:r>
      <w:hyperlink w:anchor="page181">
        <w:r>
          <w:rPr>
            <w:rFonts w:ascii="Arial" w:cs="Arial" w:eastAsia="Arial" w:hAnsi="Arial"/>
            <w:sz w:val="20"/>
            <w:szCs w:val="20"/>
            <w:u w:val="single" w:color="auto"/>
            <w:color w:val="0000FF"/>
          </w:rPr>
          <w:t>Games Corporation, the other guarantors party thereto, and Deutsche Bank Trust Company Americas, as trustee, relating to</w:t>
        </w:r>
      </w:hyperlink>
      <w:r>
        <w:rPr>
          <w:rFonts w:ascii="Arial" w:cs="Arial" w:eastAsia="Arial" w:hAnsi="Arial"/>
          <w:sz w:val="20"/>
          <w:szCs w:val="20"/>
          <w:u w:val="single" w:color="auto"/>
          <w:color w:val="0000FF"/>
        </w:rPr>
        <w:t xml:space="preserve"> </w:t>
      </w:r>
      <w:hyperlink w:anchor="page181">
        <w:r>
          <w:rPr>
            <w:rFonts w:ascii="Arial" w:cs="Arial" w:eastAsia="Arial" w:hAnsi="Arial"/>
            <w:sz w:val="20"/>
            <w:szCs w:val="20"/>
            <w:u w:val="single" w:color="auto"/>
            <w:color w:val="0000FF"/>
          </w:rPr>
          <w:t>the Indenture, dated as of November 26, 2019, as amended and supplemented, relating to the 7.250% Senior Unsecured</w:t>
        </w:r>
      </w:hyperlink>
      <w:r>
        <w:rPr>
          <w:rFonts w:ascii="Arial" w:cs="Arial" w:eastAsia="Arial" w:hAnsi="Arial"/>
          <w:sz w:val="20"/>
          <w:szCs w:val="20"/>
          <w:u w:val="single" w:color="auto"/>
          <w:color w:val="0000FF"/>
        </w:rPr>
        <w:t xml:space="preserve"> </w:t>
      </w:r>
      <w:hyperlink w:anchor="page181">
        <w:r>
          <w:rPr>
            <w:rFonts w:ascii="Arial" w:cs="Arial" w:eastAsia="Arial" w:hAnsi="Arial"/>
            <w:sz w:val="20"/>
            <w:szCs w:val="20"/>
            <w:u w:val="single" w:color="auto"/>
            <w:color w:val="0000FF"/>
          </w:rPr>
          <w:t>Notes due 2029.(†)</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-515620</wp:posOffset>
            </wp:positionV>
            <wp:extent cx="7132320" cy="514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0">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880" w:right="360" w:hanging="879"/>
        <w:spacing w:after="0" w:line="229"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4.70</w:t>
      </w:r>
      <w:r>
        <w:rPr>
          <w:sz w:val="20"/>
          <w:szCs w:val="20"/>
          <w:color w:val="auto"/>
        </w:rPr>
        <w:tab/>
      </w:r>
      <w:hyperlink r:id="rId321">
        <w:r>
          <w:rPr>
            <w:rFonts w:ascii="Arial" w:cs="Arial" w:eastAsia="Arial" w:hAnsi="Arial"/>
            <w:sz w:val="20"/>
            <w:szCs w:val="20"/>
            <w:u w:val="single" w:color="auto"/>
            <w:color w:val="0000FF"/>
          </w:rPr>
          <w:t>Description of Securities (incorporated by reference to Exhibit 4.49 to Scientific Games Corporation’s Annual Report on</w:t>
        </w:r>
      </w:hyperlink>
      <w:r>
        <w:rPr>
          <w:rFonts w:ascii="Arial" w:cs="Arial" w:eastAsia="Arial" w:hAnsi="Arial"/>
          <w:sz w:val="20"/>
          <w:szCs w:val="20"/>
          <w:u w:val="single" w:color="auto"/>
          <w:color w:val="0000FF"/>
        </w:rPr>
        <w:t xml:space="preserve"> </w:t>
      </w:r>
      <w:hyperlink r:id="rId321">
        <w:r>
          <w:rPr>
            <w:rFonts w:ascii="Arial" w:cs="Arial" w:eastAsia="Arial" w:hAnsi="Arial"/>
            <w:sz w:val="20"/>
            <w:szCs w:val="20"/>
            <w:u w:val="single" w:color="auto"/>
            <w:color w:val="0000FF"/>
          </w:rPr>
          <w:t>Form 10-K filed on March 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-276225</wp:posOffset>
            </wp:positionV>
            <wp:extent cx="7132320" cy="274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6" w:lineRule="exact"/>
        <w:rPr>
          <w:sz w:val="20"/>
          <w:szCs w:val="20"/>
          <w:color w:val="auto"/>
        </w:rPr>
      </w:pPr>
    </w:p>
    <w:p>
      <w:pPr>
        <w:ind w:left="880" w:hanging="879"/>
        <w:spacing w:after="0" w:line="214" w:lineRule="auto"/>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10.1</w:t>
      </w:r>
      <w:r>
        <w:rPr>
          <w:sz w:val="20"/>
          <w:szCs w:val="20"/>
          <w:color w:val="auto"/>
        </w:rPr>
        <w:tab/>
      </w:r>
      <w:hyperlink r:id="rId323">
        <w:r>
          <w:rPr>
            <w:rFonts w:ascii="Arial" w:cs="Arial" w:eastAsia="Arial" w:hAnsi="Arial"/>
            <w:sz w:val="19"/>
            <w:szCs w:val="19"/>
            <w:u w:val="single" w:color="auto"/>
            <w:color w:val="0000FF"/>
          </w:rPr>
          <w:t>Credit Agreement, dated as of October 18, 2013, among Scientific Games International, Inc., as the borrower, Scientific</w:t>
        </w:r>
      </w:hyperlink>
      <w:r>
        <w:rPr>
          <w:rFonts w:ascii="Arial" w:cs="Arial" w:eastAsia="Arial" w:hAnsi="Arial"/>
          <w:sz w:val="19"/>
          <w:szCs w:val="19"/>
          <w:u w:val="single" w:color="auto"/>
          <w:color w:val="0000FF"/>
        </w:rPr>
        <w:t xml:space="preserve"> </w:t>
      </w:r>
      <w:hyperlink r:id="rId323">
        <w:r>
          <w:rPr>
            <w:rFonts w:ascii="Arial" w:cs="Arial" w:eastAsia="Arial" w:hAnsi="Arial"/>
            <w:sz w:val="19"/>
            <w:szCs w:val="19"/>
            <w:u w:val="single" w:color="auto"/>
            <w:color w:val="0000FF"/>
          </w:rPr>
          <w:t>Games Corporation, the several lenders from time to time parties thereto, Bank of America, N.A., as administrative agent,</w:t>
        </w:r>
      </w:hyperlink>
      <w:r>
        <w:rPr>
          <w:rFonts w:ascii="Arial" w:cs="Arial" w:eastAsia="Arial" w:hAnsi="Arial"/>
          <w:sz w:val="19"/>
          <w:szCs w:val="19"/>
          <w:u w:val="single" w:color="auto"/>
          <w:color w:val="0000FF"/>
        </w:rPr>
        <w:t xml:space="preserve"> </w:t>
      </w:r>
      <w:hyperlink r:id="rId323">
        <w:r>
          <w:rPr>
            <w:rFonts w:ascii="Arial" w:cs="Arial" w:eastAsia="Arial" w:hAnsi="Arial"/>
            <w:sz w:val="19"/>
            <w:szCs w:val="19"/>
            <w:u w:val="single" w:color="auto"/>
            <w:color w:val="0000FF"/>
          </w:rPr>
          <w:t>collateral agent, issuing lender and swingline lender, JPMorgan Chase Bank, N.A., as issuing lender, Bank of America, N.A.,</w:t>
        </w:r>
      </w:hyperlink>
      <w:r>
        <w:rPr>
          <w:rFonts w:ascii="Arial" w:cs="Arial" w:eastAsia="Arial" w:hAnsi="Arial"/>
          <w:sz w:val="19"/>
          <w:szCs w:val="19"/>
          <w:u w:val="single" w:color="auto"/>
          <w:color w:val="0000FF"/>
        </w:rPr>
        <w:t xml:space="preserve"> </w:t>
      </w:r>
      <w:hyperlink r:id="rId323">
        <w:r>
          <w:rPr>
            <w:rFonts w:ascii="Arial" w:cs="Arial" w:eastAsia="Arial" w:hAnsi="Arial"/>
            <w:sz w:val="19"/>
            <w:szCs w:val="19"/>
            <w:u w:val="single" w:color="auto"/>
            <w:color w:val="0000FF"/>
          </w:rPr>
          <w:t>Credit Suisse Securities (USA) LLC and UBS Securities LLC, as joint lead arrangers, Bank of America, N.A., Credit Suisse</w:t>
        </w:r>
      </w:hyperlink>
      <w:r>
        <w:rPr>
          <w:rFonts w:ascii="Arial" w:cs="Arial" w:eastAsia="Arial" w:hAnsi="Arial"/>
          <w:sz w:val="19"/>
          <w:szCs w:val="19"/>
          <w:u w:val="single" w:color="auto"/>
          <w:color w:val="0000FF"/>
        </w:rPr>
        <w:t xml:space="preserve"> </w:t>
      </w:r>
      <w:hyperlink r:id="rId323">
        <w:r>
          <w:rPr>
            <w:rFonts w:ascii="Arial" w:cs="Arial" w:eastAsia="Arial" w:hAnsi="Arial"/>
            <w:sz w:val="19"/>
            <w:szCs w:val="19"/>
            <w:u w:val="single" w:color="auto"/>
            <w:color w:val="0000FF"/>
          </w:rPr>
          <w:t>Securities (USA) LLC, UBS Securities LLC, J.P. Morgan Securities LLC, RBS Securities Inc., Deutsche Bank Securities</w:t>
        </w:r>
      </w:hyperlink>
      <w:r>
        <w:rPr>
          <w:rFonts w:ascii="Arial" w:cs="Arial" w:eastAsia="Arial" w:hAnsi="Arial"/>
          <w:sz w:val="19"/>
          <w:szCs w:val="19"/>
          <w:u w:val="single" w:color="auto"/>
          <w:color w:val="0000FF"/>
        </w:rPr>
        <w:t xml:space="preserve"> </w:t>
      </w:r>
      <w:hyperlink r:id="rId323">
        <w:r>
          <w:rPr>
            <w:rFonts w:ascii="Arial" w:cs="Arial" w:eastAsia="Arial" w:hAnsi="Arial"/>
            <w:sz w:val="19"/>
            <w:szCs w:val="19"/>
            <w:u w:val="single" w:color="auto"/>
            <w:color w:val="0000FF"/>
          </w:rPr>
          <w:t>Inc., Goldman Sachs Bank USA and HSBC Securities (USA) Inc., as joint bookrunners, Credit Suisse Securities (USA) LLC</w:t>
        </w:r>
      </w:hyperlink>
      <w:r>
        <w:rPr>
          <w:rFonts w:ascii="Arial" w:cs="Arial" w:eastAsia="Arial" w:hAnsi="Arial"/>
          <w:sz w:val="19"/>
          <w:szCs w:val="19"/>
          <w:u w:val="single" w:color="auto"/>
          <w:color w:val="0000FF"/>
        </w:rPr>
        <w:t xml:space="preserve"> </w:t>
      </w:r>
      <w:hyperlink r:id="rId323">
        <w:r>
          <w:rPr>
            <w:rFonts w:ascii="Arial" w:cs="Arial" w:eastAsia="Arial" w:hAnsi="Arial"/>
            <w:sz w:val="19"/>
            <w:szCs w:val="19"/>
            <w:u w:val="single" w:color="auto"/>
            <w:color w:val="0000FF"/>
          </w:rPr>
          <w:t>and UBS Securities LLC, as co-syndication agents, and J.P. Morgan Securities LLC, The Royal Bank of Scotland plc,</w:t>
        </w:r>
      </w:hyperlink>
      <w:r>
        <w:rPr>
          <w:rFonts w:ascii="Arial" w:cs="Arial" w:eastAsia="Arial" w:hAnsi="Arial"/>
          <w:sz w:val="19"/>
          <w:szCs w:val="19"/>
          <w:u w:val="single" w:color="auto"/>
          <w:color w:val="0000FF"/>
        </w:rPr>
        <w:t xml:space="preserve"> </w:t>
      </w:r>
      <w:hyperlink r:id="rId323">
        <w:r>
          <w:rPr>
            <w:rFonts w:ascii="Arial" w:cs="Arial" w:eastAsia="Arial" w:hAnsi="Arial"/>
            <w:sz w:val="19"/>
            <w:szCs w:val="19"/>
            <w:u w:val="single" w:color="auto"/>
            <w:color w:val="0000FF"/>
          </w:rPr>
          <w:t>Deutsche Bank Securities Inc., Goldman Sachs Bank USA and HSBC Securities (USA) Inc., as co-documentation agents</w:t>
        </w:r>
      </w:hyperlink>
      <w:r>
        <w:rPr>
          <w:rFonts w:ascii="Arial" w:cs="Arial" w:eastAsia="Arial" w:hAnsi="Arial"/>
          <w:sz w:val="19"/>
          <w:szCs w:val="19"/>
          <w:u w:val="single" w:color="auto"/>
          <w:color w:val="0000FF"/>
        </w:rPr>
        <w:t xml:space="preserve"> </w:t>
      </w:r>
      <w:hyperlink r:id="rId323">
        <w:r>
          <w:rPr>
            <w:rFonts w:ascii="Arial" w:cs="Arial" w:eastAsia="Arial" w:hAnsi="Arial"/>
            <w:sz w:val="19"/>
            <w:szCs w:val="19"/>
            <w:u w:val="single" w:color="auto"/>
            <w:color w:val="0000FF"/>
          </w:rPr>
          <w:t>(incorporated by reference to Exhibit 10.1 to Scientific Games Corporation’s Current Report on Form 8-K filed on October</w:t>
        </w:r>
      </w:hyperlink>
      <w:r>
        <w:rPr>
          <w:rFonts w:ascii="Arial" w:cs="Arial" w:eastAsia="Arial" w:hAnsi="Arial"/>
          <w:sz w:val="19"/>
          <w:szCs w:val="19"/>
          <w:u w:val="single" w:color="auto"/>
          <w:color w:val="0000FF"/>
        </w:rPr>
        <w:t xml:space="preserve"> </w:t>
      </w:r>
      <w:hyperlink r:id="rId323">
        <w:r>
          <w:rPr>
            <w:rFonts w:ascii="Arial" w:cs="Arial" w:eastAsia="Arial" w:hAnsi="Arial"/>
            <w:sz w:val="19"/>
            <w:szCs w:val="19"/>
            <w:u w:val="single" w:color="auto"/>
            <w:color w:val="0000FF"/>
          </w:rPr>
          <w:t>18, 2013).</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-1234440</wp:posOffset>
            </wp:positionV>
            <wp:extent cx="7132320" cy="12344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4">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178" w:lineRule="exact"/>
        <w:rPr>
          <w:rFonts w:ascii="Arial" w:cs="Arial" w:eastAsia="Arial" w:hAnsi="Arial"/>
          <w:sz w:val="19"/>
          <w:szCs w:val="19"/>
          <w:u w:val="single" w:color="auto"/>
          <w:color w:val="0000FF"/>
        </w:rPr>
      </w:pPr>
    </w:p>
    <w:p>
      <w:pPr>
        <w:ind w:left="880" w:right="40" w:hanging="879"/>
        <w:spacing w:after="0" w:line="218" w:lineRule="auto"/>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10.2</w:t>
      </w:r>
      <w:r>
        <w:rPr>
          <w:sz w:val="20"/>
          <w:szCs w:val="20"/>
          <w:color w:val="auto"/>
        </w:rPr>
        <w:tab/>
      </w:r>
      <w:hyperlink r:id="rId325">
        <w:r>
          <w:rPr>
            <w:rFonts w:ascii="Arial" w:cs="Arial" w:eastAsia="Arial" w:hAnsi="Arial"/>
            <w:sz w:val="19"/>
            <w:szCs w:val="19"/>
            <w:u w:val="single" w:color="auto"/>
            <w:color w:val="0000FF"/>
          </w:rPr>
          <w:t>Amendment No. 1 , dated as of October 1, 2014, among Scientific Games International, Inc., as the borrower, Scientific</w:t>
        </w:r>
      </w:hyperlink>
      <w:r>
        <w:rPr>
          <w:rFonts w:ascii="Arial" w:cs="Arial" w:eastAsia="Arial" w:hAnsi="Arial"/>
          <w:sz w:val="19"/>
          <w:szCs w:val="19"/>
          <w:u w:val="single" w:color="auto"/>
          <w:color w:val="0000FF"/>
        </w:rPr>
        <w:t xml:space="preserve"> </w:t>
      </w:r>
      <w:hyperlink r:id="rId325">
        <w:r>
          <w:rPr>
            <w:rFonts w:ascii="Arial" w:cs="Arial" w:eastAsia="Arial" w:hAnsi="Arial"/>
            <w:sz w:val="19"/>
            <w:szCs w:val="19"/>
            <w:u w:val="single" w:color="auto"/>
            <w:color w:val="0000FF"/>
          </w:rPr>
          <w:t>Games Corporation, the several banks and other financial institutions or entities from time to time party thereto, and Bank of</w:t>
        </w:r>
      </w:hyperlink>
      <w:r>
        <w:rPr>
          <w:rFonts w:ascii="Arial" w:cs="Arial" w:eastAsia="Arial" w:hAnsi="Arial"/>
          <w:sz w:val="19"/>
          <w:szCs w:val="19"/>
          <w:u w:val="single" w:color="auto"/>
          <w:color w:val="0000FF"/>
        </w:rPr>
        <w:t xml:space="preserve"> </w:t>
      </w:r>
      <w:hyperlink r:id="rId325">
        <w:r>
          <w:rPr>
            <w:rFonts w:ascii="Arial" w:cs="Arial" w:eastAsia="Arial" w:hAnsi="Arial"/>
            <w:sz w:val="19"/>
            <w:szCs w:val="19"/>
            <w:u w:val="single" w:color="auto"/>
            <w:color w:val="0000FF"/>
          </w:rPr>
          <w:t>America, N.A., as administrative agent, collateral agent, issuing lender and swingline lender, which amended and restated</w:t>
        </w:r>
      </w:hyperlink>
      <w:r>
        <w:rPr>
          <w:rFonts w:ascii="Arial" w:cs="Arial" w:eastAsia="Arial" w:hAnsi="Arial"/>
          <w:sz w:val="19"/>
          <w:szCs w:val="19"/>
          <w:u w:val="single" w:color="auto"/>
          <w:color w:val="0000FF"/>
        </w:rPr>
        <w:t xml:space="preserve"> </w:t>
      </w:r>
      <w:hyperlink r:id="rId325">
        <w:r>
          <w:rPr>
            <w:rFonts w:ascii="Arial" w:cs="Arial" w:eastAsia="Arial" w:hAnsi="Arial"/>
            <w:sz w:val="19"/>
            <w:szCs w:val="19"/>
            <w:u w:val="single" w:color="auto"/>
            <w:color w:val="0000FF"/>
          </w:rPr>
          <w:t>the Credit Agreement, dated as of October 18, 2013 among such parties, as set forth in Exhibit A and Exhibit B to such</w:t>
        </w:r>
      </w:hyperlink>
      <w:r>
        <w:rPr>
          <w:rFonts w:ascii="Arial" w:cs="Arial" w:eastAsia="Arial" w:hAnsi="Arial"/>
          <w:sz w:val="19"/>
          <w:szCs w:val="19"/>
          <w:u w:val="single" w:color="auto"/>
          <w:color w:val="0000FF"/>
        </w:rPr>
        <w:t xml:space="preserve"> </w:t>
      </w:r>
      <w:hyperlink r:id="rId325">
        <w:r>
          <w:rPr>
            <w:rFonts w:ascii="Arial" w:cs="Arial" w:eastAsia="Arial" w:hAnsi="Arial"/>
            <w:sz w:val="19"/>
            <w:szCs w:val="19"/>
            <w:u w:val="single" w:color="auto"/>
            <w:color w:val="0000FF"/>
          </w:rPr>
          <w:t>Amendment No. 1. to Credit Agreement (incorporated by reference to Exhibit 10.1 to Scientific Games Corporation’s</w:t>
        </w:r>
      </w:hyperlink>
      <w:r>
        <w:rPr>
          <w:rFonts w:ascii="Arial" w:cs="Arial" w:eastAsia="Arial" w:hAnsi="Arial"/>
          <w:sz w:val="19"/>
          <w:szCs w:val="19"/>
          <w:u w:val="single" w:color="auto"/>
          <w:color w:val="0000FF"/>
        </w:rPr>
        <w:t xml:space="preserve"> </w:t>
      </w:r>
      <w:hyperlink r:id="rId325">
        <w:r>
          <w:rPr>
            <w:rFonts w:ascii="Arial" w:cs="Arial" w:eastAsia="Arial" w:hAnsi="Arial"/>
            <w:sz w:val="19"/>
            <w:szCs w:val="19"/>
            <w:u w:val="single" w:color="auto"/>
            <w:color w:val="0000FF"/>
          </w:rPr>
          <w:t>Current Report on Form 8-K filed on October 7, 2014).</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-753110</wp:posOffset>
            </wp:positionV>
            <wp:extent cx="7132320" cy="7543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6">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180" w:lineRule="exact"/>
        <w:rPr>
          <w:rFonts w:ascii="Arial" w:cs="Arial" w:eastAsia="Arial" w:hAnsi="Arial"/>
          <w:sz w:val="19"/>
          <w:szCs w:val="19"/>
          <w:u w:val="single" w:color="auto"/>
          <w:color w:val="0000FF"/>
        </w:rPr>
      </w:pPr>
    </w:p>
    <w:p>
      <w:pPr>
        <w:ind w:left="880" w:right="80" w:hanging="879"/>
        <w:spacing w:after="0" w:line="221" w:lineRule="auto"/>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10.3</w:t>
      </w:r>
      <w:r>
        <w:rPr>
          <w:sz w:val="20"/>
          <w:szCs w:val="20"/>
          <w:color w:val="auto"/>
        </w:rPr>
        <w:tab/>
      </w:r>
      <w:hyperlink r:id="rId327">
        <w:r>
          <w:rPr>
            <w:rFonts w:ascii="Arial" w:cs="Arial" w:eastAsia="Arial" w:hAnsi="Arial"/>
            <w:sz w:val="19"/>
            <w:szCs w:val="19"/>
            <w:u w:val="single" w:color="auto"/>
            <w:color w:val="0000FF"/>
          </w:rPr>
          <w:t>Amendment No. 2, dated as of February 14, 2017, among Scientific Games International, Inc., as the borrower, Scientific</w:t>
        </w:r>
      </w:hyperlink>
      <w:r>
        <w:rPr>
          <w:rFonts w:ascii="Arial" w:cs="Arial" w:eastAsia="Arial" w:hAnsi="Arial"/>
          <w:sz w:val="19"/>
          <w:szCs w:val="19"/>
          <w:u w:val="single" w:color="auto"/>
          <w:color w:val="0000FF"/>
        </w:rPr>
        <w:t xml:space="preserve"> </w:t>
      </w:r>
      <w:hyperlink r:id="rId327">
        <w:r>
          <w:rPr>
            <w:rFonts w:ascii="Arial" w:cs="Arial" w:eastAsia="Arial" w:hAnsi="Arial"/>
            <w:sz w:val="19"/>
            <w:szCs w:val="19"/>
            <w:u w:val="single" w:color="auto"/>
            <w:color w:val="0000FF"/>
          </w:rPr>
          <w:t>Games Corporation, the several banks and other financial institutions or entities from time to time party thereto and Bank of</w:t>
        </w:r>
      </w:hyperlink>
      <w:r>
        <w:rPr>
          <w:rFonts w:ascii="Arial" w:cs="Arial" w:eastAsia="Arial" w:hAnsi="Arial"/>
          <w:sz w:val="19"/>
          <w:szCs w:val="19"/>
          <w:u w:val="single" w:color="auto"/>
          <w:color w:val="0000FF"/>
        </w:rPr>
        <w:t xml:space="preserve"> </w:t>
      </w:r>
      <w:hyperlink r:id="rId327">
        <w:r>
          <w:rPr>
            <w:rFonts w:ascii="Arial" w:cs="Arial" w:eastAsia="Arial" w:hAnsi="Arial"/>
            <w:sz w:val="19"/>
            <w:szCs w:val="19"/>
            <w:u w:val="single" w:color="auto"/>
            <w:color w:val="0000FF"/>
          </w:rPr>
          <w:t>America, N.A., as administrative agent, collateral agent, issuing lender and swingline lender, which amended and restated</w:t>
        </w:r>
      </w:hyperlink>
      <w:r>
        <w:rPr>
          <w:rFonts w:ascii="Arial" w:cs="Arial" w:eastAsia="Arial" w:hAnsi="Arial"/>
          <w:sz w:val="19"/>
          <w:szCs w:val="19"/>
          <w:u w:val="single" w:color="auto"/>
          <w:color w:val="0000FF"/>
        </w:rPr>
        <w:t xml:space="preserve"> </w:t>
      </w:r>
      <w:hyperlink r:id="rId327">
        <w:r>
          <w:rPr>
            <w:rFonts w:ascii="Arial" w:cs="Arial" w:eastAsia="Arial" w:hAnsi="Arial"/>
            <w:sz w:val="19"/>
            <w:szCs w:val="19"/>
            <w:u w:val="single" w:color="auto"/>
            <w:color w:val="0000FF"/>
          </w:rPr>
          <w:t>the Credit Agreement, dated as of October 18, 2013 (incorporated by reference to Exhibit 10.1 to Scientific Games</w:t>
        </w:r>
      </w:hyperlink>
      <w:r>
        <w:rPr>
          <w:rFonts w:ascii="Arial" w:cs="Arial" w:eastAsia="Arial" w:hAnsi="Arial"/>
          <w:sz w:val="19"/>
          <w:szCs w:val="19"/>
          <w:u w:val="single" w:color="auto"/>
          <w:color w:val="0000FF"/>
        </w:rPr>
        <w:t xml:space="preserve"> </w:t>
      </w:r>
      <w:hyperlink r:id="rId327">
        <w:r>
          <w:rPr>
            <w:rFonts w:ascii="Arial" w:cs="Arial" w:eastAsia="Arial" w:hAnsi="Arial"/>
            <w:sz w:val="19"/>
            <w:szCs w:val="19"/>
            <w:u w:val="single" w:color="auto"/>
            <w:color w:val="0000FF"/>
          </w:rPr>
          <w:t>Corporation's Current Report on Form 8-K filed on February 14, 2017).</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8">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6" w:lineRule="exact"/>
        <w:rPr>
          <w:rFonts w:ascii="Arial" w:cs="Arial" w:eastAsia="Arial" w:hAnsi="Arial"/>
          <w:sz w:val="19"/>
          <w:szCs w:val="19"/>
          <w:u w:val="single" w:color="auto"/>
          <w:color w:val="0000FF"/>
        </w:rPr>
      </w:pPr>
    </w:p>
    <w:p>
      <w:pPr>
        <w:ind w:left="880" w:right="80" w:hanging="879"/>
        <w:spacing w:after="0" w:line="221" w:lineRule="auto"/>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10.4</w:t>
      </w:r>
      <w:r>
        <w:rPr>
          <w:sz w:val="20"/>
          <w:szCs w:val="20"/>
          <w:color w:val="auto"/>
        </w:rPr>
        <w:tab/>
      </w:r>
      <w:hyperlink r:id="rId329">
        <w:r>
          <w:rPr>
            <w:rFonts w:ascii="Arial" w:cs="Arial" w:eastAsia="Arial" w:hAnsi="Arial"/>
            <w:sz w:val="19"/>
            <w:szCs w:val="19"/>
            <w:u w:val="single" w:color="auto"/>
            <w:color w:val="0000FF"/>
          </w:rPr>
          <w:t>Amendment No. 3, dated as of August 14, 2017, among Scientific Games International, Inc., as the borrower, Scientific</w:t>
        </w:r>
      </w:hyperlink>
      <w:r>
        <w:rPr>
          <w:rFonts w:ascii="Arial" w:cs="Arial" w:eastAsia="Arial" w:hAnsi="Arial"/>
          <w:sz w:val="19"/>
          <w:szCs w:val="19"/>
          <w:u w:val="single" w:color="auto"/>
          <w:color w:val="0000FF"/>
        </w:rPr>
        <w:t xml:space="preserve"> </w:t>
      </w:r>
      <w:hyperlink r:id="rId329">
        <w:r>
          <w:rPr>
            <w:rFonts w:ascii="Arial" w:cs="Arial" w:eastAsia="Arial" w:hAnsi="Arial"/>
            <w:sz w:val="19"/>
            <w:szCs w:val="19"/>
            <w:u w:val="single" w:color="auto"/>
            <w:color w:val="0000FF"/>
          </w:rPr>
          <w:t>Games Corporation, the several banks and other financial institutions or entities from time to time party thereto and Bank of</w:t>
        </w:r>
      </w:hyperlink>
      <w:r>
        <w:rPr>
          <w:rFonts w:ascii="Arial" w:cs="Arial" w:eastAsia="Arial" w:hAnsi="Arial"/>
          <w:sz w:val="19"/>
          <w:szCs w:val="19"/>
          <w:u w:val="single" w:color="auto"/>
          <w:color w:val="0000FF"/>
        </w:rPr>
        <w:t xml:space="preserve"> </w:t>
      </w:r>
      <w:hyperlink r:id="rId329">
        <w:r>
          <w:rPr>
            <w:rFonts w:ascii="Arial" w:cs="Arial" w:eastAsia="Arial" w:hAnsi="Arial"/>
            <w:sz w:val="19"/>
            <w:szCs w:val="19"/>
            <w:u w:val="single" w:color="auto"/>
            <w:color w:val="0000FF"/>
          </w:rPr>
          <w:t>America, N.A., as administrative agent, collateral agent, issuing lender and swingline lender, which amended and restated</w:t>
        </w:r>
      </w:hyperlink>
      <w:r>
        <w:rPr>
          <w:rFonts w:ascii="Arial" w:cs="Arial" w:eastAsia="Arial" w:hAnsi="Arial"/>
          <w:sz w:val="19"/>
          <w:szCs w:val="19"/>
          <w:u w:val="single" w:color="auto"/>
          <w:color w:val="0000FF"/>
        </w:rPr>
        <w:t xml:space="preserve"> </w:t>
      </w:r>
      <w:hyperlink r:id="rId329">
        <w:r>
          <w:rPr>
            <w:rFonts w:ascii="Arial" w:cs="Arial" w:eastAsia="Arial" w:hAnsi="Arial"/>
            <w:sz w:val="19"/>
            <w:szCs w:val="19"/>
            <w:u w:val="single" w:color="auto"/>
            <w:color w:val="0000FF"/>
          </w:rPr>
          <w:t>the Credit Agreement, dated as of October 18, 2013 (incorporated by reference to Exhibit 10.1 to Scientific Games</w:t>
        </w:r>
      </w:hyperlink>
      <w:r>
        <w:rPr>
          <w:rFonts w:ascii="Arial" w:cs="Arial" w:eastAsia="Arial" w:hAnsi="Arial"/>
          <w:sz w:val="19"/>
          <w:szCs w:val="19"/>
          <w:u w:val="single" w:color="auto"/>
          <w:color w:val="0000FF"/>
        </w:rPr>
        <w:t xml:space="preserve"> </w:t>
      </w:r>
      <w:hyperlink r:id="rId329">
        <w:r>
          <w:rPr>
            <w:rFonts w:ascii="Arial" w:cs="Arial" w:eastAsia="Arial" w:hAnsi="Arial"/>
            <w:sz w:val="19"/>
            <w:szCs w:val="19"/>
            <w:u w:val="single" w:color="auto"/>
            <w:color w:val="0000FF"/>
          </w:rPr>
          <w:t>Corporation's Current Report on Form 8-K filed on August 14, 2017).</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-636270</wp:posOffset>
            </wp:positionV>
            <wp:extent cx="7132320" cy="6343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0">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76" w:lineRule="exact"/>
        <w:rPr>
          <w:rFonts w:ascii="Arial" w:cs="Arial" w:eastAsia="Arial" w:hAnsi="Arial"/>
          <w:sz w:val="19"/>
          <w:szCs w:val="19"/>
          <w:u w:val="single" w:color="auto"/>
          <w:color w:val="0000FF"/>
        </w:rPr>
      </w:pPr>
    </w:p>
    <w:p>
      <w:pPr>
        <w:ind w:left="880" w:right="40" w:hanging="879"/>
        <w:spacing w:after="0" w:line="205" w:lineRule="auto"/>
        <w:tabs>
          <w:tab w:leader="none" w:pos="860" w:val="left"/>
        </w:tabs>
        <w:rPr>
          <w:rFonts w:ascii="Arial" w:cs="Arial" w:eastAsia="Arial" w:hAnsi="Arial"/>
          <w:sz w:val="20"/>
          <w:szCs w:val="20"/>
          <w:u w:val="single" w:color="auto"/>
          <w:color w:val="0000FF"/>
        </w:rPr>
      </w:pPr>
      <w:r>
        <w:rPr>
          <w:rFonts w:ascii="Arial" w:cs="Arial" w:eastAsia="Arial" w:hAnsi="Arial"/>
          <w:sz w:val="20"/>
          <w:szCs w:val="20"/>
          <w:color w:val="auto"/>
        </w:rPr>
        <w:t>10.5</w:t>
      </w:r>
      <w:r>
        <w:rPr>
          <w:sz w:val="20"/>
          <w:szCs w:val="20"/>
          <w:color w:val="auto"/>
        </w:rPr>
        <w:tab/>
      </w:r>
      <w:hyperlink r:id="rId331">
        <w:r>
          <w:rPr>
            <w:rFonts w:ascii="Arial" w:cs="Arial" w:eastAsia="Arial" w:hAnsi="Arial"/>
            <w:sz w:val="20"/>
            <w:szCs w:val="20"/>
            <w:u w:val="single" w:color="auto"/>
            <w:color w:val="0000FF"/>
          </w:rPr>
          <w:t>Amendment No. 4, dated as of February 14, 2018, among Scientific Games International Inc., as the borrower, Scientific</w:t>
        </w:r>
      </w:hyperlink>
      <w:r>
        <w:rPr>
          <w:rFonts w:ascii="Arial" w:cs="Arial" w:eastAsia="Arial" w:hAnsi="Arial"/>
          <w:sz w:val="20"/>
          <w:szCs w:val="20"/>
          <w:u w:val="single" w:color="auto"/>
          <w:color w:val="0000FF"/>
        </w:rPr>
        <w:t xml:space="preserve"> </w:t>
      </w:r>
      <w:hyperlink r:id="rId331">
        <w:r>
          <w:rPr>
            <w:rFonts w:ascii="Arial" w:cs="Arial" w:eastAsia="Arial" w:hAnsi="Arial"/>
            <w:sz w:val="20"/>
            <w:szCs w:val="20"/>
            <w:u w:val="single" w:color="auto"/>
            <w:color w:val="0000FF"/>
          </w:rPr>
          <w:t>Games Corporation, as a guarantor, the several banks and other financial institutions or entities from time to time party</w:t>
        </w:r>
      </w:hyperlink>
      <w:r>
        <w:rPr>
          <w:rFonts w:ascii="Arial" w:cs="Arial" w:eastAsia="Arial" w:hAnsi="Arial"/>
          <w:sz w:val="20"/>
          <w:szCs w:val="20"/>
          <w:u w:val="single" w:color="auto"/>
          <w:color w:val="0000FF"/>
        </w:rPr>
        <w:t xml:space="preserve"> </w:t>
      </w:r>
      <w:hyperlink r:id="rId331">
        <w:r>
          <w:rPr>
            <w:rFonts w:ascii="Arial" w:cs="Arial" w:eastAsia="Arial" w:hAnsi="Arial"/>
            <w:sz w:val="20"/>
            <w:szCs w:val="20"/>
            <w:u w:val="single" w:color="auto"/>
            <w:color w:val="0000FF"/>
          </w:rPr>
          <w:t>thereto and Bank of America, N.A., as administrative agent, collateral agent, issuing lender and swingline lender, which</w:t>
        </w:r>
      </w:hyperlink>
      <w:r>
        <w:rPr>
          <w:rFonts w:ascii="Arial" w:cs="Arial" w:eastAsia="Arial" w:hAnsi="Arial"/>
          <w:sz w:val="20"/>
          <w:szCs w:val="20"/>
          <w:u w:val="single" w:color="auto"/>
          <w:color w:val="0000FF"/>
        </w:rPr>
        <w:t xml:space="preserve"> </w:t>
      </w:r>
      <w:hyperlink r:id="rId331">
        <w:r>
          <w:rPr>
            <w:rFonts w:ascii="Arial" w:cs="Arial" w:eastAsia="Arial" w:hAnsi="Arial"/>
            <w:sz w:val="20"/>
            <w:szCs w:val="20"/>
            <w:u w:val="single" w:color="auto"/>
            <w:color w:val="0000FF"/>
          </w:rPr>
          <w:t>amended and restated the Credit Agreement, dated as of October 18, 2013 (as amended, supplemented, amended and</w:t>
        </w:r>
      </w:hyperlink>
      <w:r>
        <w:rPr>
          <w:rFonts w:ascii="Arial" w:cs="Arial" w:eastAsia="Arial" w:hAnsi="Arial"/>
          <w:sz w:val="20"/>
          <w:szCs w:val="20"/>
          <w:u w:val="single" w:color="auto"/>
          <w:color w:val="0000FF"/>
        </w:rPr>
        <w:t xml:space="preserve"> </w:t>
      </w:r>
      <w:hyperlink r:id="rId331">
        <w:r>
          <w:rPr>
            <w:rFonts w:ascii="Arial" w:cs="Arial" w:eastAsia="Arial" w:hAnsi="Arial"/>
            <w:sz w:val="20"/>
            <w:szCs w:val="20"/>
            <w:u w:val="single" w:color="auto"/>
            <w:color w:val="0000FF"/>
          </w:rPr>
          <w:t>restated or otherwise modified from time to time, including without limitation, by that certain Amendment No. 1, dated as of</w:t>
        </w:r>
      </w:hyperlink>
      <w:r>
        <w:rPr>
          <w:rFonts w:ascii="Arial" w:cs="Arial" w:eastAsia="Arial" w:hAnsi="Arial"/>
          <w:sz w:val="20"/>
          <w:szCs w:val="20"/>
          <w:u w:val="single" w:color="auto"/>
          <w:color w:val="0000FF"/>
        </w:rPr>
        <w:t xml:space="preserve"> </w:t>
      </w:r>
      <w:hyperlink r:id="rId331">
        <w:r>
          <w:rPr>
            <w:rFonts w:ascii="Arial" w:cs="Arial" w:eastAsia="Arial" w:hAnsi="Arial"/>
            <w:sz w:val="20"/>
            <w:szCs w:val="20"/>
            <w:u w:val="single" w:color="auto"/>
            <w:color w:val="0000FF"/>
          </w:rPr>
          <w:t>October 1, 2014, Amendment No. 2, dated as of February 14, 2017, and Amendment No. 3, dated as of August 14, 2017)</w:t>
        </w:r>
      </w:hyperlink>
      <w:r>
        <w:rPr>
          <w:rFonts w:ascii="Arial" w:cs="Arial" w:eastAsia="Arial" w:hAnsi="Arial"/>
          <w:sz w:val="20"/>
          <w:szCs w:val="20"/>
          <w:u w:val="single" w:color="auto"/>
          <w:color w:val="0000FF"/>
        </w:rPr>
        <w:t xml:space="preserve"> </w:t>
      </w:r>
      <w:hyperlink r:id="rId331">
        <w:r>
          <w:rPr>
            <w:rFonts w:ascii="Arial" w:cs="Arial" w:eastAsia="Arial" w:hAnsi="Arial"/>
            <w:sz w:val="20"/>
            <w:szCs w:val="20"/>
            <w:u w:val="single" w:color="auto"/>
            <w:color w:val="0000FF"/>
          </w:rPr>
          <w:t>(incorporated by reference to Exhibit 10.1 to Scientific Games Corporation's Current Report on Form 8-K filed on February</w:t>
        </w:r>
      </w:hyperlink>
      <w:r>
        <w:rPr>
          <w:rFonts w:ascii="Arial" w:cs="Arial" w:eastAsia="Arial" w:hAnsi="Arial"/>
          <w:sz w:val="20"/>
          <w:szCs w:val="20"/>
          <w:u w:val="single" w:color="auto"/>
          <w:color w:val="0000FF"/>
        </w:rPr>
        <w:t xml:space="preserve"> </w:t>
      </w:r>
      <w:hyperlink r:id="rId331">
        <w:r>
          <w:rPr>
            <w:rFonts w:ascii="Arial" w:cs="Arial" w:eastAsia="Arial" w:hAnsi="Arial"/>
            <w:sz w:val="20"/>
            <w:szCs w:val="20"/>
            <w:u w:val="single" w:color="auto"/>
            <w:color w:val="0000FF"/>
          </w:rPr>
          <w:t>14, 2018).</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-260985</wp:posOffset>
            </wp:positionH>
            <wp:positionV relativeFrom="paragraph">
              <wp:posOffset>-995045</wp:posOffset>
            </wp:positionV>
            <wp:extent cx="7132320" cy="9944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2">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68" w:lineRule="exact"/>
        <w:rPr>
          <w:rFonts w:ascii="Arial" w:cs="Arial" w:eastAsia="Arial" w:hAnsi="Arial"/>
          <w:sz w:val="20"/>
          <w:szCs w:val="20"/>
          <w:u w:val="single" w:color="auto"/>
          <w:color w:val="0000FF"/>
        </w:rPr>
      </w:pPr>
    </w:p>
    <w:p>
      <w:pPr>
        <w:jc w:val="center"/>
        <w:ind w:right="400"/>
        <w:spacing w:after="0"/>
        <w:rPr>
          <w:sz w:val="20"/>
          <w:szCs w:val="20"/>
          <w:color w:val="auto"/>
        </w:rPr>
      </w:pPr>
      <w:r>
        <w:rPr>
          <w:rFonts w:ascii="Arial" w:cs="Arial" w:eastAsia="Arial" w:hAnsi="Arial"/>
          <w:sz w:val="18"/>
          <w:szCs w:val="18"/>
          <w:color w:val="auto"/>
        </w:rPr>
        <w:t>141</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-273685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40" w:top="933" w:right="359" w:bottom="1440" w:gutter="0" w:footer="0" w:header="0"/>
        </w:sectPr>
      </w:pPr>
    </w:p>
    <w:bookmarkStart w:id="141" w:name="page142"/>
    <w:bookmarkEnd w:id="141"/>
    <w:p>
      <w:pPr>
        <w:ind w:left="920" w:right="40" w:hanging="879"/>
        <w:spacing w:after="0" w:line="228" w:lineRule="auto"/>
        <w:tabs>
          <w:tab w:leader="none" w:pos="900" w:val="left"/>
        </w:tabs>
        <w:rPr>
          <w:rFonts w:ascii="Arial" w:cs="Arial" w:eastAsia="Arial" w:hAnsi="Arial"/>
          <w:sz w:val="18"/>
          <w:szCs w:val="18"/>
          <w:u w:val="single" w:color="auto"/>
          <w:color w:val="0000FF"/>
        </w:rPr>
      </w:pPr>
      <w:r>
        <w:rPr>
          <w:rFonts w:ascii="Arial" w:cs="Arial" w:eastAsia="Arial" w:hAnsi="Arial"/>
          <w:sz w:val="20"/>
          <w:szCs w:val="20"/>
          <w:color w:val="auto"/>
        </w:rPr>
        <w:t>10.6</w:t>
      </w:r>
      <w:r>
        <w:rPr>
          <w:sz w:val="20"/>
          <w:szCs w:val="20"/>
          <w:color w:val="auto"/>
        </w:rPr>
        <w:tab/>
      </w:r>
      <w:hyperlink r:id="rId334">
        <w:r>
          <w:rPr>
            <w:rFonts w:ascii="Arial" w:cs="Arial" w:eastAsia="Arial" w:hAnsi="Arial"/>
            <w:sz w:val="18"/>
            <w:szCs w:val="18"/>
            <w:u w:val="single" w:color="auto"/>
            <w:color w:val="0000FF"/>
          </w:rPr>
          <w:t>Amendment No. 5, dated as of November 20, 2019, among Scientific Games International, Inc., as the borrower, Scientific</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Games Corporation, as a guarantor, the several banks and other financial institutions or entities from time to time party</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thereto and Bank of America, N.A., as administrative agent, collateral agent, issuing lender and swingline lender, which</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amended and restated the Credit Agreement, dated as of October 18, 2013 (as amended, supplemented, amended and</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restated or otherwise modified from time to time, including without limitation, by that certain Amendment No. 1, dated as of</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October 1, 2014, Amendment No. 2, dated as of February 14, 2017, Amendment No. 3, dated as of August 14, 2017, and</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Amendment No. 4, dated as of February 14, 2018) (incorporated by reference to Exhibit 10.1 to Scientific Games</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Corporation’s Current Report on Form 8-K filed on November 20,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-996315</wp:posOffset>
            </wp:positionV>
            <wp:extent cx="7132320" cy="9944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5">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175" w:lineRule="exact"/>
        <w:rPr>
          <w:rFonts w:ascii="Arial" w:cs="Arial" w:eastAsia="Arial" w:hAnsi="Arial"/>
          <w:sz w:val="18"/>
          <w:szCs w:val="18"/>
          <w:u w:val="single" w:color="auto"/>
          <w:color w:val="0000FF"/>
        </w:rPr>
      </w:pPr>
    </w:p>
    <w:p>
      <w:pPr>
        <w:ind w:left="920" w:hanging="879"/>
        <w:spacing w:after="0" w:line="228" w:lineRule="auto"/>
        <w:tabs>
          <w:tab w:leader="none" w:pos="900" w:val="left"/>
        </w:tabs>
        <w:rPr>
          <w:rFonts w:ascii="Arial" w:cs="Arial" w:eastAsia="Arial" w:hAnsi="Arial"/>
          <w:sz w:val="18"/>
          <w:szCs w:val="18"/>
          <w:u w:val="single" w:color="auto"/>
          <w:color w:val="0000FF"/>
        </w:rPr>
      </w:pPr>
      <w:r>
        <w:rPr>
          <w:rFonts w:ascii="Arial" w:cs="Arial" w:eastAsia="Arial" w:hAnsi="Arial"/>
          <w:sz w:val="20"/>
          <w:szCs w:val="20"/>
          <w:color w:val="auto"/>
        </w:rPr>
        <w:t>10.7</w:t>
      </w:r>
      <w:r>
        <w:rPr>
          <w:sz w:val="20"/>
          <w:szCs w:val="20"/>
          <w:color w:val="auto"/>
        </w:rPr>
        <w:tab/>
      </w:r>
      <w:hyperlink r:id="rId336">
        <w:r>
          <w:rPr>
            <w:rFonts w:ascii="Arial" w:cs="Arial" w:eastAsia="Arial" w:hAnsi="Arial"/>
            <w:sz w:val="18"/>
            <w:szCs w:val="18"/>
            <w:u w:val="single" w:color="auto"/>
            <w:color w:val="0000FF"/>
          </w:rPr>
          <w:t>Amendment No. 6, dated as of May 8, 2020, among Scientific Games International, Inc., as the borrower, Scientific Games</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Corporation, as a guarantor, the several banks and other financial institutions or entities from time to time party thereto and</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Bank of America, N.A., as administrative agent, collateral agent, issuing lender and swingline lender, which amended and</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restated the Credit Agreement, dated as of October 18, 2013 (as amended, supplemented, amended and restated or otherwise</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modified from time to time, including without limitation, by that certain Amendment No. 1, dated as of October 1, 2014,</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Amendment No. 2, dated as of February 14, 2017, Amendment No. 3, dated as of August 14, 2017, Amendment No. 4, dated</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as of February 14, 2018, and Amendment No. 5 dated as of November 20, 2019) (incorporated by reference to Exhibit 10.11</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to Scientific Games Corporation’s Quarterly Report on Form 10-Q for the quarter ended March 31,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-996315</wp:posOffset>
            </wp:positionV>
            <wp:extent cx="7132320" cy="9944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7">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175" w:lineRule="exact"/>
        <w:rPr>
          <w:rFonts w:ascii="Arial" w:cs="Arial" w:eastAsia="Arial" w:hAnsi="Arial"/>
          <w:sz w:val="18"/>
          <w:szCs w:val="18"/>
          <w:u w:val="single" w:color="auto"/>
          <w:color w:val="0000FF"/>
        </w:rPr>
      </w:pPr>
    </w:p>
    <w:p>
      <w:pPr>
        <w:ind w:left="920" w:right="40" w:hanging="879"/>
        <w:spacing w:after="0" w:line="215" w:lineRule="auto"/>
        <w:tabs>
          <w:tab w:leader="none" w:pos="900" w:val="left"/>
        </w:tabs>
        <w:rPr>
          <w:rFonts w:ascii="Arial" w:cs="Arial" w:eastAsia="Arial" w:hAnsi="Arial"/>
          <w:sz w:val="19"/>
          <w:szCs w:val="19"/>
          <w:u w:val="single" w:color="auto"/>
          <w:color w:val="0000FF"/>
        </w:rPr>
      </w:pPr>
      <w:r>
        <w:rPr>
          <w:rFonts w:ascii="Arial" w:cs="Arial" w:eastAsia="Arial" w:hAnsi="Arial"/>
          <w:sz w:val="20"/>
          <w:szCs w:val="20"/>
          <w:color w:val="auto"/>
        </w:rPr>
        <w:t>10.8</w:t>
      </w:r>
      <w:r>
        <w:rPr>
          <w:sz w:val="20"/>
          <w:szCs w:val="20"/>
          <w:color w:val="auto"/>
        </w:rPr>
        <w:tab/>
      </w:r>
      <w:hyperlink r:id="rId338">
        <w:r>
          <w:rPr>
            <w:rFonts w:ascii="Arial" w:cs="Arial" w:eastAsia="Arial" w:hAnsi="Arial"/>
            <w:sz w:val="19"/>
            <w:szCs w:val="19"/>
            <w:u w:val="single" w:color="auto"/>
            <w:color w:val="0000FF"/>
          </w:rPr>
          <w:t>Amendment No. 7, dated as of October 8, 2020, among Scientific Games International, Inc., as the borrower, Scientific</w:t>
        </w:r>
      </w:hyperlink>
      <w:r>
        <w:rPr>
          <w:rFonts w:ascii="Arial" w:cs="Arial" w:eastAsia="Arial" w:hAnsi="Arial"/>
          <w:sz w:val="19"/>
          <w:szCs w:val="19"/>
          <w:u w:val="single" w:color="auto"/>
          <w:color w:val="0000FF"/>
        </w:rPr>
        <w:t xml:space="preserve"> </w:t>
      </w:r>
      <w:hyperlink r:id="rId338">
        <w:r>
          <w:rPr>
            <w:rFonts w:ascii="Arial" w:cs="Arial" w:eastAsia="Arial" w:hAnsi="Arial"/>
            <w:sz w:val="19"/>
            <w:szCs w:val="19"/>
            <w:u w:val="single" w:color="auto"/>
            <w:color w:val="0000FF"/>
          </w:rPr>
          <w:t>Games Corporation, as a guarantor, the several banks and other financial institutions or entities from time to time party</w:t>
        </w:r>
      </w:hyperlink>
      <w:r>
        <w:rPr>
          <w:rFonts w:ascii="Arial" w:cs="Arial" w:eastAsia="Arial" w:hAnsi="Arial"/>
          <w:sz w:val="19"/>
          <w:szCs w:val="19"/>
          <w:u w:val="single" w:color="auto"/>
          <w:color w:val="0000FF"/>
        </w:rPr>
        <w:t xml:space="preserve"> </w:t>
      </w:r>
      <w:hyperlink r:id="rId338">
        <w:r>
          <w:rPr>
            <w:rFonts w:ascii="Arial" w:cs="Arial" w:eastAsia="Arial" w:hAnsi="Arial"/>
            <w:sz w:val="19"/>
            <w:szCs w:val="19"/>
            <w:u w:val="single" w:color="auto"/>
            <w:color w:val="0000FF"/>
          </w:rPr>
          <w:t>thereto and Bank of America, N.A., as administrative agent, collateral agent, issuing lender and swingline lender, which</w:t>
        </w:r>
      </w:hyperlink>
      <w:r>
        <w:rPr>
          <w:rFonts w:ascii="Arial" w:cs="Arial" w:eastAsia="Arial" w:hAnsi="Arial"/>
          <w:sz w:val="19"/>
          <w:szCs w:val="19"/>
          <w:u w:val="single" w:color="auto"/>
          <w:color w:val="0000FF"/>
        </w:rPr>
        <w:t xml:space="preserve"> </w:t>
      </w:r>
      <w:hyperlink r:id="rId338">
        <w:r>
          <w:rPr>
            <w:rFonts w:ascii="Arial" w:cs="Arial" w:eastAsia="Arial" w:hAnsi="Arial"/>
            <w:sz w:val="19"/>
            <w:szCs w:val="19"/>
            <w:u w:val="single" w:color="auto"/>
            <w:color w:val="0000FF"/>
          </w:rPr>
          <w:t>amended and restated the Credit Agreement, dated as of October 18, 2013 (as amended, supplemented, amended and</w:t>
        </w:r>
      </w:hyperlink>
      <w:r>
        <w:rPr>
          <w:rFonts w:ascii="Arial" w:cs="Arial" w:eastAsia="Arial" w:hAnsi="Arial"/>
          <w:sz w:val="19"/>
          <w:szCs w:val="19"/>
          <w:u w:val="single" w:color="auto"/>
          <w:color w:val="0000FF"/>
        </w:rPr>
        <w:t xml:space="preserve"> </w:t>
      </w:r>
      <w:hyperlink r:id="rId338">
        <w:r>
          <w:rPr>
            <w:rFonts w:ascii="Arial" w:cs="Arial" w:eastAsia="Arial" w:hAnsi="Arial"/>
            <w:sz w:val="19"/>
            <w:szCs w:val="19"/>
            <w:u w:val="single" w:color="auto"/>
            <w:color w:val="0000FF"/>
          </w:rPr>
          <w:t>restated or otherwise modified from time to time, including without limitation, by that certain Amendment No. 1, dated as of</w:t>
        </w:r>
      </w:hyperlink>
      <w:r>
        <w:rPr>
          <w:rFonts w:ascii="Arial" w:cs="Arial" w:eastAsia="Arial" w:hAnsi="Arial"/>
          <w:sz w:val="19"/>
          <w:szCs w:val="19"/>
          <w:u w:val="single" w:color="auto"/>
          <w:color w:val="0000FF"/>
        </w:rPr>
        <w:t xml:space="preserve"> </w:t>
      </w:r>
      <w:hyperlink r:id="rId338">
        <w:r>
          <w:rPr>
            <w:rFonts w:ascii="Arial" w:cs="Arial" w:eastAsia="Arial" w:hAnsi="Arial"/>
            <w:sz w:val="19"/>
            <w:szCs w:val="19"/>
            <w:u w:val="single" w:color="auto"/>
            <w:color w:val="0000FF"/>
          </w:rPr>
          <w:t>October 1, 2014, Amendment No. 2, dated as of February 14, 2017, Amendment No. 3, dated as of August 14, 2017,</w:t>
        </w:r>
      </w:hyperlink>
      <w:r>
        <w:rPr>
          <w:rFonts w:ascii="Arial" w:cs="Arial" w:eastAsia="Arial" w:hAnsi="Arial"/>
          <w:sz w:val="19"/>
          <w:szCs w:val="19"/>
          <w:u w:val="single" w:color="auto"/>
          <w:color w:val="0000FF"/>
        </w:rPr>
        <w:t xml:space="preserve"> </w:t>
      </w:r>
      <w:hyperlink r:id="rId338">
        <w:r>
          <w:rPr>
            <w:rFonts w:ascii="Arial" w:cs="Arial" w:eastAsia="Arial" w:hAnsi="Arial"/>
            <w:sz w:val="19"/>
            <w:szCs w:val="19"/>
            <w:u w:val="single" w:color="auto"/>
            <w:color w:val="0000FF"/>
          </w:rPr>
          <w:t>Amendment No. 4, dated as of February 14, 2018, Amendment No. 5 dated as of November 20, 2019, and Amendment No.</w:t>
        </w:r>
      </w:hyperlink>
      <w:r>
        <w:rPr>
          <w:rFonts w:ascii="Arial" w:cs="Arial" w:eastAsia="Arial" w:hAnsi="Arial"/>
          <w:sz w:val="19"/>
          <w:szCs w:val="19"/>
          <w:u w:val="single" w:color="auto"/>
          <w:color w:val="0000FF"/>
        </w:rPr>
        <w:t xml:space="preserve"> </w:t>
      </w:r>
      <w:hyperlink r:id="rId338">
        <w:r>
          <w:rPr>
            <w:rFonts w:ascii="Arial" w:cs="Arial" w:eastAsia="Arial" w:hAnsi="Arial"/>
            <w:sz w:val="19"/>
            <w:szCs w:val="19"/>
            <w:u w:val="single" w:color="auto"/>
            <w:color w:val="0000FF"/>
          </w:rPr>
          <w:t>6 dated as of May 8, 2020) (incorporated by reference to Exhibit 10.1 to Scientific Games Corporation’s Current Report on</w:t>
        </w:r>
      </w:hyperlink>
      <w:r>
        <w:rPr>
          <w:rFonts w:ascii="Arial" w:cs="Arial" w:eastAsia="Arial" w:hAnsi="Arial"/>
          <w:sz w:val="19"/>
          <w:szCs w:val="19"/>
          <w:u w:val="single" w:color="auto"/>
          <w:color w:val="0000FF"/>
        </w:rPr>
        <w:t xml:space="preserve"> </w:t>
      </w:r>
      <w:hyperlink r:id="rId338">
        <w:r>
          <w:rPr>
            <w:rFonts w:ascii="Arial" w:cs="Arial" w:eastAsia="Arial" w:hAnsi="Arial"/>
            <w:sz w:val="19"/>
            <w:szCs w:val="19"/>
            <w:u w:val="single" w:color="auto"/>
            <w:color w:val="0000FF"/>
          </w:rPr>
          <w:t>Form 8-K filed on October 8, 2020).</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-1115695</wp:posOffset>
            </wp:positionV>
            <wp:extent cx="7132320" cy="11144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9">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spacing w:after="0" w:line="176" w:lineRule="exact"/>
        <w:rPr>
          <w:rFonts w:ascii="Arial" w:cs="Arial" w:eastAsia="Arial" w:hAnsi="Arial"/>
          <w:sz w:val="19"/>
          <w:szCs w:val="19"/>
          <w:u w:val="single" w:color="auto"/>
          <w:color w:val="0000FF"/>
        </w:rPr>
      </w:pPr>
    </w:p>
    <w:p>
      <w:pPr>
        <w:jc w:val="both"/>
        <w:ind w:left="920" w:right="180" w:hanging="879"/>
        <w:spacing w:after="0" w:line="230" w:lineRule="auto"/>
        <w:tabs>
          <w:tab w:leader="none" w:pos="900" w:val="left"/>
        </w:tabs>
        <w:rPr>
          <w:rFonts w:ascii="Arial" w:cs="Arial" w:eastAsia="Arial" w:hAnsi="Arial"/>
          <w:sz w:val="19"/>
          <w:szCs w:val="19"/>
          <w:u w:val="single" w:color="auto"/>
          <w:color w:val="0000FF"/>
        </w:rPr>
      </w:pPr>
      <w:r>
        <w:rPr>
          <w:rFonts w:ascii="Arial" w:cs="Arial" w:eastAsia="Arial" w:hAnsi="Arial"/>
          <w:sz w:val="20"/>
          <w:szCs w:val="20"/>
          <w:color w:val="auto"/>
        </w:rPr>
        <w:t>10.9</w:t>
      </w:r>
      <w:r>
        <w:rPr>
          <w:sz w:val="20"/>
          <w:szCs w:val="20"/>
          <w:color w:val="auto"/>
        </w:rPr>
        <w:tab/>
      </w:r>
      <w:hyperlink r:id="rId340">
        <w:r>
          <w:rPr>
            <w:rFonts w:ascii="Arial" w:cs="Arial" w:eastAsia="Arial" w:hAnsi="Arial"/>
            <w:sz w:val="19"/>
            <w:szCs w:val="19"/>
            <w:u w:val="single" w:color="auto"/>
            <w:color w:val="0000FF"/>
          </w:rPr>
          <w:t>Escrow Credit Agreement, dated as of October 1, 2014, among SGMS Escrow Corp., the several lenders from time to time</w:t>
        </w:r>
      </w:hyperlink>
      <w:r>
        <w:rPr>
          <w:rFonts w:ascii="Arial" w:cs="Arial" w:eastAsia="Arial" w:hAnsi="Arial"/>
          <w:sz w:val="19"/>
          <w:szCs w:val="19"/>
          <w:u w:val="single" w:color="auto"/>
          <w:color w:val="0000FF"/>
        </w:rPr>
        <w:t xml:space="preserve"> </w:t>
      </w:r>
      <w:hyperlink r:id="rId340">
        <w:r>
          <w:rPr>
            <w:rFonts w:ascii="Arial" w:cs="Arial" w:eastAsia="Arial" w:hAnsi="Arial"/>
            <w:sz w:val="19"/>
            <w:szCs w:val="19"/>
            <w:u w:val="single" w:color="auto"/>
            <w:color w:val="0000FF"/>
          </w:rPr>
          <w:t>parties thereto, and Bank of America, N.A., as administrative agent (incorporated by reference to Exhibit 10.2 to Scientific</w:t>
        </w:r>
      </w:hyperlink>
      <w:r>
        <w:rPr>
          <w:rFonts w:ascii="Arial" w:cs="Arial" w:eastAsia="Arial" w:hAnsi="Arial"/>
          <w:sz w:val="19"/>
          <w:szCs w:val="19"/>
          <w:u w:val="single" w:color="auto"/>
          <w:color w:val="0000FF"/>
        </w:rPr>
        <w:t xml:space="preserve"> </w:t>
      </w:r>
      <w:hyperlink r:id="rId340">
        <w:r>
          <w:rPr>
            <w:rFonts w:ascii="Arial" w:cs="Arial" w:eastAsia="Arial" w:hAnsi="Arial"/>
            <w:sz w:val="19"/>
            <w:szCs w:val="19"/>
            <w:u w:val="single" w:color="auto"/>
            <w:color w:val="0000FF"/>
          </w:rPr>
          <w:t>Games Corporation’s Current Report on Form 8-K filed on October 7, 2014).</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-396240</wp:posOffset>
            </wp:positionV>
            <wp:extent cx="7132320" cy="3943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1">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5" w:lineRule="exact"/>
        <w:rPr>
          <w:rFonts w:ascii="Arial" w:cs="Arial" w:eastAsia="Arial" w:hAnsi="Arial"/>
          <w:sz w:val="19"/>
          <w:szCs w:val="19"/>
          <w:u w:val="single" w:color="auto"/>
          <w:color w:val="0000FF"/>
        </w:rPr>
      </w:pPr>
    </w:p>
    <w:p>
      <w:pPr>
        <w:jc w:val="both"/>
        <w:ind w:left="920" w:right="140" w:hanging="928"/>
        <w:spacing w:after="0" w:line="289" w:lineRule="auto"/>
        <w:tabs>
          <w:tab w:leader="none" w:pos="900" w:val="left"/>
        </w:tabs>
        <w:rPr>
          <w:rFonts w:ascii="Arial" w:cs="Arial" w:eastAsia="Arial" w:hAnsi="Arial"/>
          <w:sz w:val="16"/>
          <w:szCs w:val="16"/>
          <w:u w:val="single" w:color="auto"/>
          <w:color w:val="0000FF"/>
        </w:rPr>
      </w:pPr>
      <w:r>
        <w:rPr>
          <w:rFonts w:ascii="Arial" w:cs="Arial" w:eastAsia="Arial" w:hAnsi="Arial"/>
          <w:sz w:val="20"/>
          <w:szCs w:val="20"/>
          <w:color w:val="auto"/>
        </w:rPr>
        <w:t>10.10</w:t>
      </w:r>
      <w:r>
        <w:rPr>
          <w:sz w:val="20"/>
          <w:szCs w:val="20"/>
          <w:color w:val="auto"/>
        </w:rPr>
        <w:tab/>
      </w:r>
      <w:hyperlink r:id="rId342">
        <w:r>
          <w:rPr>
            <w:rFonts w:ascii="Arial" w:cs="Arial" w:eastAsia="Arial" w:hAnsi="Arial"/>
            <w:sz w:val="16"/>
            <w:szCs w:val="16"/>
            <w:u w:val="single" w:color="auto"/>
            <w:color w:val="0000FF"/>
          </w:rPr>
          <w:t>Guarantee and Collateral Agreement, dated as of October 18, 2013, by and among Scientific Games Corporation, Scientific</w:t>
        </w:r>
      </w:hyperlink>
      <w:r>
        <w:rPr>
          <w:rFonts w:ascii="Arial" w:cs="Arial" w:eastAsia="Arial" w:hAnsi="Arial"/>
          <w:sz w:val="16"/>
          <w:szCs w:val="16"/>
          <w:u w:val="single" w:color="auto"/>
          <w:color w:val="0000FF"/>
        </w:rPr>
        <w:t xml:space="preserve"> </w:t>
      </w:r>
      <w:hyperlink r:id="rId342">
        <w:r>
          <w:rPr>
            <w:rFonts w:ascii="Arial" w:cs="Arial" w:eastAsia="Arial" w:hAnsi="Arial"/>
            <w:sz w:val="16"/>
            <w:szCs w:val="16"/>
            <w:u w:val="single" w:color="auto"/>
            <w:color w:val="0000FF"/>
          </w:rPr>
          <w:t>Games International, Inc., the guarantor parties named therein and Bank of America, N.A. as collateral agent (incorporated</w:t>
        </w:r>
      </w:hyperlink>
      <w:r>
        <w:rPr>
          <w:rFonts w:ascii="Arial" w:cs="Arial" w:eastAsia="Arial" w:hAnsi="Arial"/>
          <w:sz w:val="16"/>
          <w:szCs w:val="16"/>
          <w:u w:val="single" w:color="auto"/>
          <w:color w:val="0000FF"/>
        </w:rPr>
        <w:t xml:space="preserve"> </w:t>
      </w:r>
      <w:hyperlink r:id="rId342">
        <w:r>
          <w:rPr>
            <w:rFonts w:ascii="Arial" w:cs="Arial" w:eastAsia="Arial" w:hAnsi="Arial"/>
            <w:sz w:val="16"/>
            <w:szCs w:val="16"/>
            <w:u w:val="single" w:color="auto"/>
            <w:color w:val="0000FF"/>
          </w:rPr>
          <w:t>by reference to Exhibit 10.2 to Scientific Games Corporation's Current Report on Form 8-K filed on October 18, 2013).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-419100</wp:posOffset>
            </wp:positionV>
            <wp:extent cx="7132320" cy="3943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3">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39" w:lineRule="exact"/>
        <w:rPr>
          <w:rFonts w:ascii="Arial" w:cs="Arial" w:eastAsia="Arial" w:hAnsi="Arial"/>
          <w:sz w:val="16"/>
          <w:szCs w:val="16"/>
          <w:u w:val="single" w:color="auto"/>
          <w:color w:val="0000FF"/>
        </w:rPr>
      </w:pPr>
    </w:p>
    <w:p>
      <w:pPr>
        <w:ind w:left="920" w:right="160" w:hanging="924"/>
        <w:spacing w:after="0" w:line="224" w:lineRule="auto"/>
        <w:tabs>
          <w:tab w:leader="none" w:pos="900" w:val="left"/>
        </w:tabs>
        <w:rPr>
          <w:rFonts w:ascii="Arial" w:cs="Arial" w:eastAsia="Arial" w:hAnsi="Arial"/>
          <w:sz w:val="19"/>
          <w:szCs w:val="19"/>
          <w:u w:val="single" w:color="auto"/>
          <w:color w:val="0000FF"/>
        </w:rPr>
      </w:pPr>
      <w:r>
        <w:rPr>
          <w:rFonts w:ascii="Arial" w:cs="Arial" w:eastAsia="Arial" w:hAnsi="Arial"/>
          <w:sz w:val="20"/>
          <w:szCs w:val="20"/>
          <w:color w:val="auto"/>
        </w:rPr>
        <w:t>10.11</w:t>
      </w:r>
      <w:r>
        <w:rPr>
          <w:sz w:val="20"/>
          <w:szCs w:val="20"/>
          <w:color w:val="auto"/>
        </w:rPr>
        <w:tab/>
      </w:r>
      <w:hyperlink r:id="rId344">
        <w:r>
          <w:rPr>
            <w:rFonts w:ascii="Arial" w:cs="Arial" w:eastAsia="Arial" w:hAnsi="Arial"/>
            <w:sz w:val="19"/>
            <w:szCs w:val="19"/>
            <w:u w:val="single" w:color="auto"/>
            <w:color w:val="0000FF"/>
          </w:rPr>
          <w:t>Collateral Agreement, dated as of November 21, 2014, among Scientific Games International, Inc., as issuer, Scientific</w:t>
        </w:r>
      </w:hyperlink>
      <w:r>
        <w:rPr>
          <w:rFonts w:ascii="Arial" w:cs="Arial" w:eastAsia="Arial" w:hAnsi="Arial"/>
          <w:sz w:val="19"/>
          <w:szCs w:val="19"/>
          <w:u w:val="single" w:color="auto"/>
          <w:color w:val="0000FF"/>
        </w:rPr>
        <w:t xml:space="preserve"> </w:t>
      </w:r>
      <w:hyperlink r:id="rId344">
        <w:r>
          <w:rPr>
            <w:rFonts w:ascii="Arial" w:cs="Arial" w:eastAsia="Arial" w:hAnsi="Arial"/>
            <w:sz w:val="19"/>
            <w:szCs w:val="19"/>
            <w:u w:val="single" w:color="auto"/>
            <w:color w:val="0000FF"/>
          </w:rPr>
          <w:t>Games Corporation, the subsidiary guarantors party thereto and Deutsche Bank Trust Company Americas, as collateral</w:t>
        </w:r>
      </w:hyperlink>
      <w:r>
        <w:rPr>
          <w:rFonts w:ascii="Arial" w:cs="Arial" w:eastAsia="Arial" w:hAnsi="Arial"/>
          <w:sz w:val="19"/>
          <w:szCs w:val="19"/>
          <w:u w:val="single" w:color="auto"/>
          <w:color w:val="0000FF"/>
        </w:rPr>
        <w:t xml:space="preserve"> </w:t>
      </w:r>
      <w:hyperlink r:id="rId344">
        <w:r>
          <w:rPr>
            <w:rFonts w:ascii="Arial" w:cs="Arial" w:eastAsia="Arial" w:hAnsi="Arial"/>
            <w:sz w:val="19"/>
            <w:szCs w:val="19"/>
            <w:u w:val="single" w:color="auto"/>
            <w:color w:val="0000FF"/>
          </w:rPr>
          <w:t>agent, related to the 7.000% Senior Secured Notes due 2022 (incorporated by reference to Exhibit 10.1 to Scientific Games</w:t>
        </w:r>
      </w:hyperlink>
      <w:r>
        <w:rPr>
          <w:rFonts w:ascii="Arial" w:cs="Arial" w:eastAsia="Arial" w:hAnsi="Arial"/>
          <w:sz w:val="19"/>
          <w:szCs w:val="19"/>
          <w:u w:val="single" w:color="auto"/>
          <w:color w:val="0000FF"/>
        </w:rPr>
        <w:t xml:space="preserve"> </w:t>
      </w:r>
      <w:hyperlink r:id="rId344">
        <w:r>
          <w:rPr>
            <w:rFonts w:ascii="Arial" w:cs="Arial" w:eastAsia="Arial" w:hAnsi="Arial"/>
            <w:sz w:val="19"/>
            <w:szCs w:val="19"/>
            <w:u w:val="single" w:color="auto"/>
            <w:color w:val="0000FF"/>
          </w:rPr>
          <w:t>Corporation’s Current Report on Form 8-K filed on November 26, 2014).</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-514985</wp:posOffset>
            </wp:positionV>
            <wp:extent cx="7132320" cy="514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5">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7" w:lineRule="exact"/>
        <w:rPr>
          <w:rFonts w:ascii="Arial" w:cs="Arial" w:eastAsia="Arial" w:hAnsi="Arial"/>
          <w:sz w:val="19"/>
          <w:szCs w:val="19"/>
          <w:u w:val="single" w:color="auto"/>
          <w:color w:val="0000FF"/>
        </w:rPr>
      </w:pPr>
    </w:p>
    <w:p>
      <w:pPr>
        <w:ind w:left="920" w:right="20" w:hanging="928"/>
        <w:spacing w:after="0" w:line="213"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10.12</w:t>
      </w:r>
      <w:r>
        <w:rPr>
          <w:sz w:val="20"/>
          <w:szCs w:val="20"/>
          <w:color w:val="auto"/>
        </w:rPr>
        <w:tab/>
      </w:r>
      <w:hyperlink r:id="rId346">
        <w:r>
          <w:rPr>
            <w:rFonts w:ascii="Arial" w:cs="Arial" w:eastAsia="Arial" w:hAnsi="Arial"/>
            <w:sz w:val="20"/>
            <w:szCs w:val="20"/>
            <w:u w:val="single" w:color="auto"/>
            <w:color w:val="0000FF"/>
          </w:rPr>
          <w:t>Amendment No. 1, dated as of February 14, 2017, among Scientific Games International, Inc., Scientific Games Corporation</w:t>
        </w:r>
      </w:hyperlink>
      <w:r>
        <w:rPr>
          <w:rFonts w:ascii="Arial" w:cs="Arial" w:eastAsia="Arial" w:hAnsi="Arial"/>
          <w:sz w:val="20"/>
          <w:szCs w:val="20"/>
          <w:u w:val="single" w:color="auto"/>
          <w:color w:val="0000FF"/>
        </w:rPr>
        <w:t xml:space="preserve"> </w:t>
      </w:r>
      <w:hyperlink r:id="rId346">
        <w:r>
          <w:rPr>
            <w:rFonts w:ascii="Arial" w:cs="Arial" w:eastAsia="Arial" w:hAnsi="Arial"/>
            <w:sz w:val="20"/>
            <w:szCs w:val="20"/>
            <w:u w:val="single" w:color="auto"/>
            <w:color w:val="0000FF"/>
          </w:rPr>
          <w:t>and the other guarantors party thereto and Deutsche Bank Trust Company Americas, as collateral agent, relating to the</w:t>
        </w:r>
      </w:hyperlink>
      <w:r>
        <w:rPr>
          <w:rFonts w:ascii="Arial" w:cs="Arial" w:eastAsia="Arial" w:hAnsi="Arial"/>
          <w:sz w:val="20"/>
          <w:szCs w:val="20"/>
          <w:u w:val="single" w:color="auto"/>
          <w:color w:val="0000FF"/>
        </w:rPr>
        <w:t xml:space="preserve"> </w:t>
      </w:r>
      <w:hyperlink r:id="rId346">
        <w:r>
          <w:rPr>
            <w:rFonts w:ascii="Arial" w:cs="Arial" w:eastAsia="Arial" w:hAnsi="Arial"/>
            <w:sz w:val="20"/>
            <w:szCs w:val="20"/>
            <w:u w:val="single" w:color="auto"/>
            <w:color w:val="0000FF"/>
          </w:rPr>
          <w:t>Collateral Agreement, dated as of November 21, 2014 (incorporated by reference to Exhibit 10.2 to Scientific Games</w:t>
        </w:r>
      </w:hyperlink>
      <w:r>
        <w:rPr>
          <w:rFonts w:ascii="Arial" w:cs="Arial" w:eastAsia="Arial" w:hAnsi="Arial"/>
          <w:sz w:val="20"/>
          <w:szCs w:val="20"/>
          <w:u w:val="single" w:color="auto"/>
          <w:color w:val="0000FF"/>
        </w:rPr>
        <w:t xml:space="preserve"> </w:t>
      </w:r>
      <w:hyperlink r:id="rId346">
        <w:r>
          <w:rPr>
            <w:rFonts w:ascii="Arial" w:cs="Arial" w:eastAsia="Arial" w:hAnsi="Arial"/>
            <w:sz w:val="20"/>
            <w:szCs w:val="20"/>
            <w:u w:val="single" w:color="auto"/>
            <w:color w:val="0000FF"/>
          </w:rPr>
          <w:t>Corporation's Current Report on Form 8-K filed on February 14, 2017).</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-515620</wp:posOffset>
            </wp:positionV>
            <wp:extent cx="7132320" cy="514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7">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67" w:lineRule="exact"/>
        <w:rPr>
          <w:rFonts w:ascii="Arial" w:cs="Arial" w:eastAsia="Arial" w:hAnsi="Arial"/>
          <w:sz w:val="20"/>
          <w:szCs w:val="20"/>
          <w:u w:val="single" w:color="auto"/>
          <w:color w:val="0000FF"/>
        </w:rPr>
      </w:pPr>
    </w:p>
    <w:p>
      <w:pPr>
        <w:jc w:val="center"/>
        <w:ind w:right="360"/>
        <w:spacing w:after="0"/>
        <w:rPr>
          <w:sz w:val="20"/>
          <w:szCs w:val="20"/>
          <w:color w:val="auto"/>
        </w:rPr>
      </w:pPr>
      <w:r>
        <w:rPr>
          <w:rFonts w:ascii="Arial" w:cs="Arial" w:eastAsia="Arial" w:hAnsi="Arial"/>
          <w:sz w:val="18"/>
          <w:szCs w:val="18"/>
          <w:color w:val="auto"/>
        </w:rPr>
        <w:t>142</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933" w:right="359" w:bottom="1440" w:gutter="0" w:footer="0" w:header="0"/>
        </w:sectPr>
      </w:pPr>
    </w:p>
    <w:bookmarkStart w:id="142" w:name="page143"/>
    <w:bookmarkEnd w:id="142"/>
    <w:p>
      <w:pPr>
        <w:ind w:left="920" w:right="80" w:hanging="928"/>
        <w:spacing w:after="0" w:line="207"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10.13</w:t>
      </w:r>
      <w:r>
        <w:rPr>
          <w:sz w:val="20"/>
          <w:szCs w:val="20"/>
          <w:color w:val="auto"/>
        </w:rPr>
        <w:tab/>
      </w:r>
      <w:hyperlink r:id="rId349">
        <w:r>
          <w:rPr>
            <w:rFonts w:ascii="Arial" w:cs="Arial" w:eastAsia="Arial" w:hAnsi="Arial"/>
            <w:sz w:val="20"/>
            <w:szCs w:val="20"/>
            <w:u w:val="single" w:color="auto"/>
            <w:color w:val="0000FF"/>
          </w:rPr>
          <w:t>Stockholders’ Agreement, dated as of September 6, 2000, by and among Scientific Games Corporation, (formerly known as</w:t>
        </w:r>
      </w:hyperlink>
      <w:r>
        <w:rPr>
          <w:rFonts w:ascii="Arial" w:cs="Arial" w:eastAsia="Arial" w:hAnsi="Arial"/>
          <w:sz w:val="20"/>
          <w:szCs w:val="20"/>
          <w:u w:val="single" w:color="auto"/>
          <w:color w:val="0000FF"/>
        </w:rPr>
        <w:t xml:space="preserve"> </w:t>
      </w:r>
      <w:hyperlink r:id="rId349">
        <w:r>
          <w:rPr>
            <w:rFonts w:ascii="Arial" w:cs="Arial" w:eastAsia="Arial" w:hAnsi="Arial"/>
            <w:sz w:val="20"/>
            <w:szCs w:val="20"/>
            <w:u w:val="single" w:color="auto"/>
            <w:color w:val="0000FF"/>
          </w:rPr>
          <w:t>Autotote Corporation), Pivot Buyer LLC (as successor-in-interest to Section 5 under the agreement to MacAndrews &amp;</w:t>
        </w:r>
      </w:hyperlink>
      <w:r>
        <w:rPr>
          <w:rFonts w:ascii="Arial" w:cs="Arial" w:eastAsia="Arial" w:hAnsi="Arial"/>
          <w:sz w:val="20"/>
          <w:szCs w:val="20"/>
          <w:u w:val="single" w:color="auto"/>
          <w:color w:val="0000FF"/>
        </w:rPr>
        <w:t xml:space="preserve"> </w:t>
      </w:r>
      <w:hyperlink r:id="rId349">
        <w:r>
          <w:rPr>
            <w:rFonts w:ascii="Arial" w:cs="Arial" w:eastAsia="Arial" w:hAnsi="Arial"/>
            <w:sz w:val="20"/>
            <w:szCs w:val="20"/>
            <w:u w:val="single" w:color="auto"/>
            <w:color w:val="0000FF"/>
          </w:rPr>
          <w:t>Forbes Incorporated (formerly known as Mafco Holdings Inc.) (“MacAndrews”) (as successor-in-interest under the</w:t>
        </w:r>
      </w:hyperlink>
      <w:r>
        <w:rPr>
          <w:rFonts w:ascii="Arial" w:cs="Arial" w:eastAsia="Arial" w:hAnsi="Arial"/>
          <w:sz w:val="20"/>
          <w:szCs w:val="20"/>
          <w:u w:val="single" w:color="auto"/>
          <w:color w:val="0000FF"/>
        </w:rPr>
        <w:t xml:space="preserve"> </w:t>
      </w:r>
      <w:hyperlink r:id="rId349">
        <w:r>
          <w:rPr>
            <w:rFonts w:ascii="Arial" w:cs="Arial" w:eastAsia="Arial" w:hAnsi="Arial"/>
            <w:sz w:val="20"/>
            <w:szCs w:val="20"/>
            <w:u w:val="single" w:color="auto"/>
            <w:color w:val="0000FF"/>
          </w:rPr>
          <w:t>agreement to Cirmatica Gaming S.A.)), The Oak Fund, Peconic Fund Ltd. Ramius Securities, LLC, and Olivetti</w:t>
        </w:r>
      </w:hyperlink>
      <w:r>
        <w:rPr>
          <w:rFonts w:ascii="Arial" w:cs="Arial" w:eastAsia="Arial" w:hAnsi="Arial"/>
          <w:sz w:val="20"/>
          <w:szCs w:val="20"/>
          <w:u w:val="single" w:color="auto"/>
          <w:color w:val="0000FF"/>
        </w:rPr>
        <w:t xml:space="preserve"> </w:t>
      </w:r>
      <w:hyperlink r:id="rId349">
        <w:r>
          <w:rPr>
            <w:rFonts w:ascii="Arial" w:cs="Arial" w:eastAsia="Arial" w:hAnsi="Arial"/>
            <w:sz w:val="20"/>
            <w:szCs w:val="20"/>
            <w:u w:val="single" w:color="auto"/>
            <w:color w:val="0000FF"/>
          </w:rPr>
          <w:t>International S.A. (incorporated by reference to Exhibit 10.38 to Scientific Games Corporation’s Quarterly Report on Form</w:t>
        </w:r>
      </w:hyperlink>
      <w:r>
        <w:rPr>
          <w:rFonts w:ascii="Arial" w:cs="Arial" w:eastAsia="Arial" w:hAnsi="Arial"/>
          <w:sz w:val="20"/>
          <w:szCs w:val="20"/>
          <w:u w:val="single" w:color="auto"/>
          <w:color w:val="0000FF"/>
        </w:rPr>
        <w:t xml:space="preserve"> </w:t>
      </w:r>
      <w:hyperlink r:id="rId349">
        <w:r>
          <w:rPr>
            <w:rFonts w:ascii="Arial" w:cs="Arial" w:eastAsia="Arial" w:hAnsi="Arial"/>
            <w:sz w:val="20"/>
            <w:szCs w:val="20"/>
            <w:u w:val="single" w:color="auto"/>
            <w:color w:val="0000FF"/>
          </w:rPr>
          <w:t>10-Q for the quarter ended July 31, 2000).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-753110</wp:posOffset>
            </wp:positionV>
            <wp:extent cx="7132320" cy="7543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0">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180" w:lineRule="exact"/>
        <w:rPr>
          <w:rFonts w:ascii="Arial" w:cs="Arial" w:eastAsia="Arial" w:hAnsi="Arial"/>
          <w:sz w:val="20"/>
          <w:szCs w:val="20"/>
          <w:u w:val="single" w:color="auto"/>
          <w:color w:val="0000FF"/>
        </w:rPr>
      </w:pPr>
    </w:p>
    <w:p>
      <w:pPr>
        <w:ind w:left="920" w:right="240" w:hanging="928"/>
        <w:spacing w:after="0" w:line="213"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10.14</w:t>
      </w:r>
      <w:r>
        <w:rPr>
          <w:sz w:val="20"/>
          <w:szCs w:val="20"/>
          <w:color w:val="auto"/>
        </w:rPr>
        <w:tab/>
      </w:r>
      <w:hyperlink r:id="rId351">
        <w:r>
          <w:rPr>
            <w:rFonts w:ascii="Arial" w:cs="Arial" w:eastAsia="Arial" w:hAnsi="Arial"/>
            <w:sz w:val="20"/>
            <w:szCs w:val="20"/>
            <w:u w:val="single" w:color="auto"/>
            <w:color w:val="0000FF"/>
          </w:rPr>
          <w:t>Supplemental Stockholders’ Agreement, dated as of June 26, 2002, among Scientific Games Corporation and Pivot Buyer</w:t>
        </w:r>
      </w:hyperlink>
      <w:r>
        <w:rPr>
          <w:rFonts w:ascii="Arial" w:cs="Arial" w:eastAsia="Arial" w:hAnsi="Arial"/>
          <w:sz w:val="20"/>
          <w:szCs w:val="20"/>
          <w:u w:val="single" w:color="auto"/>
          <w:color w:val="0000FF"/>
        </w:rPr>
        <w:t xml:space="preserve"> </w:t>
      </w:r>
      <w:hyperlink r:id="rId351">
        <w:r>
          <w:rPr>
            <w:rFonts w:ascii="Arial" w:cs="Arial" w:eastAsia="Arial" w:hAnsi="Arial"/>
            <w:sz w:val="20"/>
            <w:szCs w:val="20"/>
            <w:u w:val="single" w:color="auto"/>
            <w:color w:val="0000FF"/>
          </w:rPr>
          <w:t>LLC (as successor-in-interest to MacAndrews (as successor-in-interest to Cirmatica Gaming S.A.)) (incorporated by</w:t>
        </w:r>
      </w:hyperlink>
      <w:r>
        <w:rPr>
          <w:rFonts w:ascii="Arial" w:cs="Arial" w:eastAsia="Arial" w:hAnsi="Arial"/>
          <w:sz w:val="20"/>
          <w:szCs w:val="20"/>
          <w:u w:val="single" w:color="auto"/>
          <w:color w:val="0000FF"/>
        </w:rPr>
        <w:t xml:space="preserve"> </w:t>
      </w:r>
      <w:hyperlink r:id="rId351">
        <w:r>
          <w:rPr>
            <w:rFonts w:ascii="Arial" w:cs="Arial" w:eastAsia="Arial" w:hAnsi="Arial"/>
            <w:sz w:val="20"/>
            <w:szCs w:val="20"/>
            <w:u w:val="single" w:color="auto"/>
            <w:color w:val="0000FF"/>
          </w:rPr>
          <w:t>reference to Exhibit 4.2 to Scientific Games Corporation’s Quarterly Report on Form 10-Q for the quarter ended June 30,</w:t>
        </w:r>
      </w:hyperlink>
      <w:r>
        <w:rPr>
          <w:rFonts w:ascii="Arial" w:cs="Arial" w:eastAsia="Arial" w:hAnsi="Arial"/>
          <w:sz w:val="20"/>
          <w:szCs w:val="20"/>
          <w:u w:val="single" w:color="auto"/>
          <w:color w:val="0000FF"/>
        </w:rPr>
        <w:t xml:space="preserve"> </w:t>
      </w:r>
      <w:hyperlink r:id="rId351">
        <w:r>
          <w:rPr>
            <w:rFonts w:ascii="Arial" w:cs="Arial" w:eastAsia="Arial" w:hAnsi="Arial"/>
            <w:sz w:val="20"/>
            <w:szCs w:val="20"/>
            <w:u w:val="single" w:color="auto"/>
            <w:color w:val="0000FF"/>
          </w:rPr>
          <w:t>2002).</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-515620</wp:posOffset>
            </wp:positionV>
            <wp:extent cx="7132320" cy="514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2">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6" w:lineRule="exact"/>
        <w:rPr>
          <w:rFonts w:ascii="Arial" w:cs="Arial" w:eastAsia="Arial" w:hAnsi="Arial"/>
          <w:sz w:val="20"/>
          <w:szCs w:val="20"/>
          <w:u w:val="single" w:color="auto"/>
          <w:color w:val="0000FF"/>
        </w:rPr>
      </w:pPr>
    </w:p>
    <w:p>
      <w:pPr>
        <w:ind w:left="920" w:right="260" w:hanging="928"/>
        <w:spacing w:after="0" w:line="244" w:lineRule="auto"/>
        <w:tabs>
          <w:tab w:leader="none" w:pos="900" w:val="left"/>
        </w:tabs>
        <w:rPr>
          <w:rFonts w:ascii="Arial" w:cs="Arial" w:eastAsia="Arial" w:hAnsi="Arial"/>
          <w:sz w:val="18"/>
          <w:szCs w:val="18"/>
          <w:u w:val="single" w:color="auto"/>
          <w:color w:val="0000FF"/>
        </w:rPr>
      </w:pPr>
      <w:r>
        <w:rPr>
          <w:rFonts w:ascii="Arial" w:cs="Arial" w:eastAsia="Arial" w:hAnsi="Arial"/>
          <w:sz w:val="20"/>
          <w:szCs w:val="20"/>
          <w:color w:val="auto"/>
        </w:rPr>
        <w:t>10.15</w:t>
      </w:r>
      <w:r>
        <w:rPr>
          <w:sz w:val="20"/>
          <w:szCs w:val="20"/>
          <w:color w:val="auto"/>
        </w:rPr>
        <w:tab/>
      </w:r>
      <w:hyperlink r:id="rId353">
        <w:r>
          <w:rPr>
            <w:rFonts w:ascii="Arial" w:cs="Arial" w:eastAsia="Arial" w:hAnsi="Arial"/>
            <w:sz w:val="18"/>
            <w:szCs w:val="18"/>
            <w:u w:val="single" w:color="auto"/>
            <w:color w:val="0000FF"/>
          </w:rPr>
          <w:t>Letter Agreement, dated as of October 10, 2003, by and between Scientific Games Corporation and Pivot Buyer LLC (as</w:t>
        </w:r>
      </w:hyperlink>
      <w:r>
        <w:rPr>
          <w:rFonts w:ascii="Arial" w:cs="Arial" w:eastAsia="Arial" w:hAnsi="Arial"/>
          <w:sz w:val="18"/>
          <w:szCs w:val="18"/>
          <w:u w:val="single" w:color="auto"/>
          <w:color w:val="0000FF"/>
        </w:rPr>
        <w:t xml:space="preserve"> </w:t>
      </w:r>
      <w:hyperlink r:id="rId353">
        <w:r>
          <w:rPr>
            <w:rFonts w:ascii="Arial" w:cs="Arial" w:eastAsia="Arial" w:hAnsi="Arial"/>
            <w:sz w:val="18"/>
            <w:szCs w:val="18"/>
            <w:u w:val="single" w:color="auto"/>
            <w:color w:val="0000FF"/>
          </w:rPr>
          <w:t>successor-in-interest to MacAndrews further supplementing the Stockholders’ Agreement (incorporated by reference to</w:t>
        </w:r>
      </w:hyperlink>
      <w:r>
        <w:rPr>
          <w:rFonts w:ascii="Arial" w:cs="Arial" w:eastAsia="Arial" w:hAnsi="Arial"/>
          <w:sz w:val="18"/>
          <w:szCs w:val="18"/>
          <w:u w:val="single" w:color="auto"/>
          <w:color w:val="0000FF"/>
        </w:rPr>
        <w:t xml:space="preserve"> </w:t>
      </w:r>
      <w:hyperlink r:id="rId353">
        <w:r>
          <w:rPr>
            <w:rFonts w:ascii="Arial" w:cs="Arial" w:eastAsia="Arial" w:hAnsi="Arial"/>
            <w:sz w:val="18"/>
            <w:szCs w:val="18"/>
            <w:u w:val="single" w:color="auto"/>
            <w:color w:val="0000FF"/>
          </w:rPr>
          <w:t>Exhibit 3 to the Schedule 13D jointly filed by MacAndrews and SGMS Acquisition Corporation on November 26, 2003).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-398145</wp:posOffset>
            </wp:positionV>
            <wp:extent cx="7132320" cy="3943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4">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2" w:lineRule="exact"/>
        <w:rPr>
          <w:rFonts w:ascii="Arial" w:cs="Arial" w:eastAsia="Arial" w:hAnsi="Arial"/>
          <w:sz w:val="18"/>
          <w:szCs w:val="18"/>
          <w:u w:val="single" w:color="auto"/>
          <w:color w:val="0000FF"/>
        </w:rPr>
      </w:pPr>
    </w:p>
    <w:p>
      <w:pPr>
        <w:jc w:val="both"/>
        <w:ind w:left="920" w:right="26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10.16</w:t>
      </w:r>
      <w:r>
        <w:rPr>
          <w:sz w:val="20"/>
          <w:szCs w:val="20"/>
          <w:color w:val="auto"/>
        </w:rPr>
        <w:tab/>
      </w:r>
      <w:hyperlink r:id="rId355">
        <w:r>
          <w:rPr>
            <w:rFonts w:ascii="Arial" w:cs="Arial" w:eastAsia="Arial" w:hAnsi="Arial"/>
            <w:sz w:val="20"/>
            <w:szCs w:val="20"/>
            <w:u w:val="single" w:color="auto"/>
            <w:color w:val="0000FF"/>
          </w:rPr>
          <w:t>Letter Agreement dated February 15, 2007 between Scientific Games Corporation and Pivot Buyer LLC (as successor-in-</w:t>
        </w:r>
      </w:hyperlink>
      <w:hyperlink r:id="rId355">
        <w:r>
          <w:rPr>
            <w:rFonts w:ascii="Arial" w:cs="Arial" w:eastAsia="Arial" w:hAnsi="Arial"/>
            <w:sz w:val="20"/>
            <w:szCs w:val="20"/>
            <w:u w:val="single" w:color="auto"/>
            <w:color w:val="0000FF"/>
          </w:rPr>
          <w:t>interest to MacAndrews) (incorporated by reference to Exhibit 10.1 to Scientific Games Corporation’s Current Report on</w:t>
        </w:r>
      </w:hyperlink>
      <w:r>
        <w:rPr>
          <w:rFonts w:ascii="Arial" w:cs="Arial" w:eastAsia="Arial" w:hAnsi="Arial"/>
          <w:sz w:val="20"/>
          <w:szCs w:val="20"/>
          <w:u w:val="single" w:color="auto"/>
          <w:color w:val="0000FF"/>
        </w:rPr>
        <w:t xml:space="preserve"> </w:t>
      </w:r>
      <w:hyperlink r:id="rId355">
        <w:r>
          <w:rPr>
            <w:rFonts w:ascii="Arial" w:cs="Arial" w:eastAsia="Arial" w:hAnsi="Arial"/>
            <w:sz w:val="20"/>
            <w:szCs w:val="20"/>
            <w:u w:val="single" w:color="auto"/>
            <w:color w:val="0000FF"/>
          </w:rPr>
          <w:t>Form 8-K filed on February 16, 2007).</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6">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18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10.17</w:t>
      </w:r>
      <w:r>
        <w:rPr>
          <w:sz w:val="20"/>
          <w:szCs w:val="20"/>
          <w:color w:val="auto"/>
        </w:rPr>
        <w:tab/>
      </w:r>
      <w:hyperlink r:id="rId357">
        <w:r>
          <w:rPr>
            <w:rFonts w:ascii="Arial" w:cs="Arial" w:eastAsia="Arial" w:hAnsi="Arial"/>
            <w:sz w:val="20"/>
            <w:szCs w:val="20"/>
            <w:u w:val="single" w:color="auto"/>
            <w:color w:val="0000FF"/>
          </w:rPr>
          <w:t>Agreement, dated as of September 11, 2020, by and between Scientific Games Corporation and MacAndrews &amp; Forbes</w:t>
        </w:r>
      </w:hyperlink>
      <w:r>
        <w:rPr>
          <w:rFonts w:ascii="Arial" w:cs="Arial" w:eastAsia="Arial" w:hAnsi="Arial"/>
          <w:sz w:val="20"/>
          <w:szCs w:val="20"/>
          <w:u w:val="single" w:color="auto"/>
          <w:color w:val="0000FF"/>
        </w:rPr>
        <w:t xml:space="preserve"> </w:t>
      </w:r>
      <w:hyperlink r:id="rId357">
        <w:r>
          <w:rPr>
            <w:rFonts w:ascii="Arial" w:cs="Arial" w:eastAsia="Arial" w:hAnsi="Arial"/>
            <w:sz w:val="20"/>
            <w:szCs w:val="20"/>
            <w:u w:val="single" w:color="auto"/>
            <w:color w:val="0000FF"/>
          </w:rPr>
          <w:t>Incorporated (incorporated by reference to Exhibit 10.2 to Scientific Games Corporation’s Quarterly Report on Form 10-Q</w:t>
        </w:r>
      </w:hyperlink>
      <w:r>
        <w:rPr>
          <w:rFonts w:ascii="Arial" w:cs="Arial" w:eastAsia="Arial" w:hAnsi="Arial"/>
          <w:sz w:val="20"/>
          <w:szCs w:val="20"/>
          <w:u w:val="single" w:color="auto"/>
          <w:color w:val="0000FF"/>
        </w:rPr>
        <w:t xml:space="preserve"> </w:t>
      </w:r>
      <w:hyperlink r:id="rId357">
        <w:r>
          <w:rPr>
            <w:rFonts w:ascii="Arial" w:cs="Arial" w:eastAsia="Arial" w:hAnsi="Arial"/>
            <w:sz w:val="20"/>
            <w:szCs w:val="20"/>
            <w:u w:val="single" w:color="auto"/>
            <w:color w:val="0000FF"/>
          </w:rPr>
          <w:t>for the quarter ended September 30,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8">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6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10.18</w:t>
      </w:r>
      <w:r>
        <w:rPr>
          <w:sz w:val="20"/>
          <w:szCs w:val="20"/>
          <w:color w:val="auto"/>
        </w:rPr>
        <w:tab/>
      </w:r>
      <w:hyperlink r:id="rId359">
        <w:r>
          <w:rPr>
            <w:rFonts w:ascii="Arial" w:cs="Arial" w:eastAsia="Arial" w:hAnsi="Arial"/>
            <w:sz w:val="20"/>
            <w:szCs w:val="20"/>
            <w:u w:val="single" w:color="auto"/>
            <w:color w:val="0000FF"/>
          </w:rPr>
          <w:t>Agreement, dated as of September 11, 2020, by and among Scientific Games Corporation and Pivot Buyer LLC</w:t>
        </w:r>
      </w:hyperlink>
      <w:r>
        <w:rPr>
          <w:rFonts w:ascii="Arial" w:cs="Arial" w:eastAsia="Arial" w:hAnsi="Arial"/>
          <w:sz w:val="20"/>
          <w:szCs w:val="20"/>
          <w:u w:val="single" w:color="auto"/>
          <w:color w:val="0000FF"/>
        </w:rPr>
        <w:t xml:space="preserve"> </w:t>
      </w:r>
      <w:hyperlink r:id="rId359">
        <w:r>
          <w:rPr>
            <w:rFonts w:ascii="Arial" w:cs="Arial" w:eastAsia="Arial" w:hAnsi="Arial"/>
            <w:sz w:val="20"/>
            <w:szCs w:val="20"/>
            <w:u w:val="single" w:color="auto"/>
            <w:color w:val="0000FF"/>
          </w:rPr>
          <w:t>(incorporated by reference to Exhibit 10.3 to Scientific Games Corporation’s Quarterly Report on Form 10-Q for the quarter</w:t>
        </w:r>
      </w:hyperlink>
      <w:r>
        <w:rPr>
          <w:rFonts w:ascii="Arial" w:cs="Arial" w:eastAsia="Arial" w:hAnsi="Arial"/>
          <w:sz w:val="20"/>
          <w:szCs w:val="20"/>
          <w:u w:val="single" w:color="auto"/>
          <w:color w:val="0000FF"/>
        </w:rPr>
        <w:t xml:space="preserve"> </w:t>
      </w:r>
      <w:hyperlink r:id="rId359">
        <w:r>
          <w:rPr>
            <w:rFonts w:ascii="Arial" w:cs="Arial" w:eastAsia="Arial" w:hAnsi="Arial"/>
            <w:sz w:val="20"/>
            <w:szCs w:val="20"/>
            <w:u w:val="single" w:color="auto"/>
            <w:color w:val="0000FF"/>
          </w:rPr>
          <w:t>ended September 30,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6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100" w:hanging="928"/>
        <w:spacing w:after="0" w:line="244" w:lineRule="auto"/>
        <w:tabs>
          <w:tab w:leader="none" w:pos="900" w:val="left"/>
        </w:tabs>
        <w:rPr>
          <w:rFonts w:ascii="Arial" w:cs="Arial" w:eastAsia="Arial" w:hAnsi="Arial"/>
          <w:sz w:val="18"/>
          <w:szCs w:val="18"/>
          <w:u w:val="single" w:color="auto"/>
          <w:color w:val="0000FF"/>
        </w:rPr>
      </w:pPr>
      <w:r>
        <w:rPr>
          <w:rFonts w:ascii="Arial" w:cs="Arial" w:eastAsia="Arial" w:hAnsi="Arial"/>
          <w:sz w:val="20"/>
          <w:szCs w:val="20"/>
          <w:color w:val="auto"/>
        </w:rPr>
        <w:t>10.19</w:t>
      </w:r>
      <w:r>
        <w:rPr>
          <w:sz w:val="20"/>
          <w:szCs w:val="20"/>
          <w:color w:val="auto"/>
        </w:rPr>
        <w:tab/>
      </w:r>
      <w:hyperlink r:id="rId361">
        <w:r>
          <w:rPr>
            <w:rFonts w:ascii="Arial" w:cs="Arial" w:eastAsia="Arial" w:hAnsi="Arial"/>
            <w:sz w:val="18"/>
            <w:szCs w:val="18"/>
            <w:u w:val="single" w:color="auto"/>
            <w:color w:val="0000FF"/>
          </w:rPr>
          <w:t>Share Purchase Agreement, dated as of April 26, 2011, by and among Scientific Games Corporation, Global Draw Limited,</w:t>
        </w:r>
      </w:hyperlink>
      <w:r>
        <w:rPr>
          <w:rFonts w:ascii="Arial" w:cs="Arial" w:eastAsia="Arial" w:hAnsi="Arial"/>
          <w:sz w:val="18"/>
          <w:szCs w:val="18"/>
          <w:u w:val="single" w:color="auto"/>
          <w:color w:val="0000FF"/>
        </w:rPr>
        <w:t xml:space="preserve"> </w:t>
      </w:r>
      <w:hyperlink r:id="rId361">
        <w:r>
          <w:rPr>
            <w:rFonts w:ascii="Arial" w:cs="Arial" w:eastAsia="Arial" w:hAnsi="Arial"/>
            <w:sz w:val="18"/>
            <w:szCs w:val="18"/>
            <w:u w:val="single" w:color="auto"/>
            <w:color w:val="0000FF"/>
          </w:rPr>
          <w:t>IGT-UK Group Limited, Cyberview International, Inc. and International Game Technology (incorporated by reference to</w:t>
        </w:r>
      </w:hyperlink>
      <w:r>
        <w:rPr>
          <w:rFonts w:ascii="Arial" w:cs="Arial" w:eastAsia="Arial" w:hAnsi="Arial"/>
          <w:sz w:val="18"/>
          <w:szCs w:val="18"/>
          <w:u w:val="single" w:color="auto"/>
          <w:color w:val="0000FF"/>
        </w:rPr>
        <w:t xml:space="preserve"> </w:t>
      </w:r>
      <w:hyperlink r:id="rId361">
        <w:r>
          <w:rPr>
            <w:rFonts w:ascii="Arial" w:cs="Arial" w:eastAsia="Arial" w:hAnsi="Arial"/>
            <w:sz w:val="18"/>
            <w:szCs w:val="18"/>
            <w:u w:val="single" w:color="auto"/>
            <w:color w:val="0000FF"/>
          </w:rPr>
          <w:t>Exhibit 10.1 to Scientific Games Corporation’s Quarterly Report on Form 10-Q for the quarter ended June 30, 2011).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-398145</wp:posOffset>
            </wp:positionV>
            <wp:extent cx="7132320" cy="3943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2" w:lineRule="exact"/>
        <w:rPr>
          <w:rFonts w:ascii="Arial" w:cs="Arial" w:eastAsia="Arial" w:hAnsi="Arial"/>
          <w:sz w:val="18"/>
          <w:szCs w:val="18"/>
          <w:u w:val="single" w:color="auto"/>
          <w:color w:val="0000FF"/>
        </w:rPr>
      </w:pPr>
    </w:p>
    <w:p>
      <w:pPr>
        <w:ind w:left="92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10.20</w:t>
      </w:r>
      <w:r>
        <w:rPr>
          <w:sz w:val="20"/>
          <w:szCs w:val="20"/>
          <w:color w:val="auto"/>
        </w:rPr>
        <w:tab/>
      </w:r>
      <w:hyperlink r:id="rId359">
        <w:r>
          <w:rPr>
            <w:rFonts w:ascii="Arial" w:cs="Arial" w:eastAsia="Arial" w:hAnsi="Arial"/>
            <w:sz w:val="20"/>
            <w:szCs w:val="20"/>
            <w:u w:val="single" w:color="auto"/>
            <w:color w:val="0000FF"/>
          </w:rPr>
          <w:t>Tax Receivable Agreement, dated May 7, 2019, by and among SciPlay Corporation, SciPlay Parent Company, LLC and each</w:t>
        </w:r>
      </w:hyperlink>
      <w:r>
        <w:rPr>
          <w:rFonts w:ascii="Arial" w:cs="Arial" w:eastAsia="Arial" w:hAnsi="Arial"/>
          <w:sz w:val="20"/>
          <w:szCs w:val="20"/>
          <w:u w:val="single" w:color="auto"/>
          <w:color w:val="0000FF"/>
        </w:rPr>
        <w:t xml:space="preserve"> </w:t>
      </w:r>
      <w:hyperlink r:id="rId359">
        <w:r>
          <w:rPr>
            <w:rFonts w:ascii="Arial" w:cs="Arial" w:eastAsia="Arial" w:hAnsi="Arial"/>
            <w:sz w:val="20"/>
            <w:szCs w:val="20"/>
            <w:u w:val="single" w:color="auto"/>
            <w:color w:val="0000FF"/>
          </w:rPr>
          <w:t>of the Members (as defined therein) from time to time party thereto (incorporated by reference to Exhibit 10.1 to Scientific</w:t>
        </w:r>
      </w:hyperlink>
      <w:r>
        <w:rPr>
          <w:rFonts w:ascii="Arial" w:cs="Arial" w:eastAsia="Arial" w:hAnsi="Arial"/>
          <w:sz w:val="20"/>
          <w:szCs w:val="20"/>
          <w:u w:val="single" w:color="auto"/>
          <w:color w:val="0000FF"/>
        </w:rPr>
        <w:t xml:space="preserve"> </w:t>
      </w:r>
      <w:hyperlink r:id="rId359">
        <w:r>
          <w:rPr>
            <w:rFonts w:ascii="Arial" w:cs="Arial" w:eastAsia="Arial" w:hAnsi="Arial"/>
            <w:sz w:val="20"/>
            <w:szCs w:val="20"/>
            <w:u w:val="single" w:color="auto"/>
            <w:color w:val="0000FF"/>
          </w:rPr>
          <w:t>Games Corporation’s Current Report on Form 8-K filed on May 8, 2019).</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3">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2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10.21</w:t>
      </w:r>
      <w:r>
        <w:rPr>
          <w:sz w:val="20"/>
          <w:szCs w:val="20"/>
          <w:color w:val="auto"/>
        </w:rPr>
        <w:tab/>
      </w:r>
      <w:hyperlink r:id="rId364">
        <w:r>
          <w:rPr>
            <w:rFonts w:ascii="Arial" w:cs="Arial" w:eastAsia="Arial" w:hAnsi="Arial"/>
            <w:sz w:val="20"/>
            <w:szCs w:val="20"/>
            <w:u w:val="single" w:color="auto"/>
            <w:color w:val="0000FF"/>
          </w:rPr>
          <w:t>Scientific Games Corporation Amended and Restated 2003 Incentive Compensation Plan (Amended and Restated as of June</w:t>
        </w:r>
      </w:hyperlink>
      <w:r>
        <w:rPr>
          <w:rFonts w:ascii="Arial" w:cs="Arial" w:eastAsia="Arial" w:hAnsi="Arial"/>
          <w:sz w:val="20"/>
          <w:szCs w:val="20"/>
          <w:u w:val="single" w:color="auto"/>
          <w:color w:val="0000FF"/>
        </w:rPr>
        <w:t xml:space="preserve"> </w:t>
      </w:r>
      <w:hyperlink r:id="rId364">
        <w:r>
          <w:rPr>
            <w:rFonts w:ascii="Arial" w:cs="Arial" w:eastAsia="Arial" w:hAnsi="Arial"/>
            <w:sz w:val="20"/>
            <w:szCs w:val="20"/>
            <w:u w:val="single" w:color="auto"/>
            <w:color w:val="0000FF"/>
          </w:rPr>
          <w:t>9, 2021) (incorporated by reference to Exhibit 10.1 to Scientific Games Corporations Current Report on Form 8-K filed on</w:t>
        </w:r>
      </w:hyperlink>
      <w:r>
        <w:rPr>
          <w:rFonts w:ascii="Arial" w:cs="Arial" w:eastAsia="Arial" w:hAnsi="Arial"/>
          <w:sz w:val="20"/>
          <w:szCs w:val="20"/>
          <w:u w:val="single" w:color="auto"/>
          <w:color w:val="0000FF"/>
        </w:rPr>
        <w:t xml:space="preserve"> </w:t>
      </w:r>
      <w:hyperlink r:id="rId364">
        <w:r>
          <w:rPr>
            <w:rFonts w:ascii="Arial" w:cs="Arial" w:eastAsia="Arial" w:hAnsi="Arial"/>
            <w:sz w:val="20"/>
            <w:szCs w:val="20"/>
            <w:u w:val="single" w:color="auto"/>
            <w:color w:val="0000FF"/>
          </w:rPr>
          <w:t>June 11,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5">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480" w:hanging="928"/>
        <w:spacing w:after="0" w:line="229"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10.22</w:t>
      </w:r>
      <w:r>
        <w:rPr>
          <w:sz w:val="20"/>
          <w:szCs w:val="20"/>
          <w:color w:val="auto"/>
        </w:rPr>
        <w:tab/>
      </w:r>
      <w:hyperlink r:id="rId366">
        <w:r>
          <w:rPr>
            <w:rFonts w:ascii="Arial" w:cs="Arial" w:eastAsia="Arial" w:hAnsi="Arial"/>
            <w:sz w:val="20"/>
            <w:szCs w:val="20"/>
            <w:u w:val="single" w:color="auto"/>
            <w:color w:val="0000FF"/>
          </w:rPr>
          <w:t>1995 Equity Incentive Plan, as amended (incorporated by reference to Exhibit 10.14 to Scientific Games Corporation’s</w:t>
        </w:r>
      </w:hyperlink>
      <w:r>
        <w:rPr>
          <w:rFonts w:ascii="Arial" w:cs="Arial" w:eastAsia="Arial" w:hAnsi="Arial"/>
          <w:sz w:val="20"/>
          <w:szCs w:val="20"/>
          <w:u w:val="single" w:color="auto"/>
          <w:color w:val="0000FF"/>
        </w:rPr>
        <w:t xml:space="preserve"> </w:t>
      </w:r>
      <w:hyperlink r:id="rId366">
        <w:r>
          <w:rPr>
            <w:rFonts w:ascii="Arial" w:cs="Arial" w:eastAsia="Arial" w:hAnsi="Arial"/>
            <w:sz w:val="20"/>
            <w:szCs w:val="20"/>
            <w:u w:val="single" w:color="auto"/>
            <w:color w:val="0000FF"/>
          </w:rPr>
          <w:t>Annual Report on Form 10-K for the fiscal year ended October 31, 1997).*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-276225</wp:posOffset>
            </wp:positionV>
            <wp:extent cx="7132320" cy="274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6" w:lineRule="exact"/>
        <w:rPr>
          <w:sz w:val="20"/>
          <w:szCs w:val="20"/>
          <w:color w:val="auto"/>
        </w:rPr>
      </w:pPr>
    </w:p>
    <w:p>
      <w:pPr>
        <w:ind w:left="920" w:right="460" w:hanging="928"/>
        <w:spacing w:after="0" w:line="229"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10.23</w:t>
      </w:r>
      <w:r>
        <w:rPr>
          <w:sz w:val="20"/>
          <w:szCs w:val="20"/>
          <w:color w:val="auto"/>
        </w:rPr>
        <w:tab/>
      </w:r>
      <w:hyperlink r:id="rId368">
        <w:r>
          <w:rPr>
            <w:rFonts w:ascii="Arial" w:cs="Arial" w:eastAsia="Arial" w:hAnsi="Arial"/>
            <w:sz w:val="20"/>
            <w:szCs w:val="20"/>
            <w:u w:val="single" w:color="auto"/>
            <w:color w:val="0000FF"/>
          </w:rPr>
          <w:t>Asia-Pacific Business Incentive Compensation Program (incorporated by reference to Exhibit 10.4 to Scientific Games</w:t>
        </w:r>
      </w:hyperlink>
      <w:r>
        <w:rPr>
          <w:rFonts w:ascii="Arial" w:cs="Arial" w:eastAsia="Arial" w:hAnsi="Arial"/>
          <w:sz w:val="20"/>
          <w:szCs w:val="20"/>
          <w:u w:val="single" w:color="auto"/>
          <w:color w:val="0000FF"/>
        </w:rPr>
        <w:t xml:space="preserve"> </w:t>
      </w:r>
      <w:hyperlink r:id="rId368">
        <w:r>
          <w:rPr>
            <w:rFonts w:ascii="Arial" w:cs="Arial" w:eastAsia="Arial" w:hAnsi="Arial"/>
            <w:sz w:val="20"/>
            <w:szCs w:val="20"/>
            <w:u w:val="single" w:color="auto"/>
            <w:color w:val="0000FF"/>
          </w:rPr>
          <w:t>Corporation’s Current Report on Form 8-K filed on December 3,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-276225</wp:posOffset>
            </wp:positionV>
            <wp:extent cx="7132320" cy="2743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6" w:lineRule="exact"/>
        <w:rPr>
          <w:sz w:val="20"/>
          <w:szCs w:val="20"/>
          <w:color w:val="auto"/>
        </w:rPr>
      </w:pPr>
    </w:p>
    <w:p>
      <w:pPr>
        <w:ind w:left="920" w:right="260" w:hanging="928"/>
        <w:spacing w:after="0" w:line="236" w:lineRule="auto"/>
        <w:tabs>
          <w:tab w:leader="none" w:pos="900" w:val="left"/>
        </w:tabs>
        <w:rPr>
          <w:rFonts w:ascii="Arial" w:cs="Arial" w:eastAsia="Arial" w:hAnsi="Arial"/>
          <w:sz w:val="18"/>
          <w:szCs w:val="18"/>
          <w:u w:val="single" w:color="auto"/>
          <w:color w:val="0000FF"/>
        </w:rPr>
      </w:pPr>
      <w:r>
        <w:rPr>
          <w:rFonts w:ascii="Arial" w:cs="Arial" w:eastAsia="Arial" w:hAnsi="Arial"/>
          <w:sz w:val="20"/>
          <w:szCs w:val="20"/>
          <w:color w:val="auto"/>
        </w:rPr>
        <w:t>10.24</w:t>
      </w:r>
      <w:r>
        <w:rPr>
          <w:sz w:val="20"/>
          <w:szCs w:val="20"/>
          <w:color w:val="auto"/>
        </w:rPr>
        <w:tab/>
      </w:r>
      <w:hyperlink r:id="rId370">
        <w:r>
          <w:rPr>
            <w:rFonts w:ascii="Arial" w:cs="Arial" w:eastAsia="Arial" w:hAnsi="Arial"/>
            <w:sz w:val="18"/>
            <w:szCs w:val="18"/>
            <w:u w:val="single" w:color="auto"/>
            <w:color w:val="0000FF"/>
          </w:rPr>
          <w:t>Omnibus Amendment of Compensation and Benefit Plans, effective January 10, 2018, to amend the Plans, as defined</w:t>
        </w:r>
      </w:hyperlink>
      <w:r>
        <w:rPr>
          <w:rFonts w:ascii="Arial" w:cs="Arial" w:eastAsia="Arial" w:hAnsi="Arial"/>
          <w:sz w:val="18"/>
          <w:szCs w:val="18"/>
          <w:u w:val="single" w:color="auto"/>
          <w:color w:val="0000FF"/>
        </w:rPr>
        <w:t xml:space="preserve"> </w:t>
      </w:r>
      <w:hyperlink r:id="rId370">
        <w:r>
          <w:rPr>
            <w:rFonts w:ascii="Arial" w:cs="Arial" w:eastAsia="Arial" w:hAnsi="Arial"/>
            <w:sz w:val="18"/>
            <w:szCs w:val="18"/>
            <w:u w:val="single" w:color="auto"/>
            <w:color w:val="0000FF"/>
          </w:rPr>
          <w:t>therein, to reflect the merger of Scientific Games Corporation, a Delaware corporation (“Parent”) into SG Nevada Merger</w:t>
        </w:r>
      </w:hyperlink>
      <w:r>
        <w:rPr>
          <w:rFonts w:ascii="Arial" w:cs="Arial" w:eastAsia="Arial" w:hAnsi="Arial"/>
          <w:sz w:val="18"/>
          <w:szCs w:val="18"/>
          <w:u w:val="single" w:color="auto"/>
          <w:color w:val="0000FF"/>
        </w:rPr>
        <w:t xml:space="preserve"> </w:t>
      </w:r>
      <w:hyperlink r:id="rId370">
        <w:r>
          <w:rPr>
            <w:rFonts w:ascii="Arial" w:cs="Arial" w:eastAsia="Arial" w:hAnsi="Arial"/>
            <w:sz w:val="18"/>
            <w:szCs w:val="18"/>
            <w:u w:val="single" w:color="auto"/>
            <w:color w:val="0000FF"/>
          </w:rPr>
          <w:t>Company, a Nevada corporation and a wholly owned subsidiary of Parent (incorporated by reference to Exhibit 10.3 to</w:t>
        </w:r>
      </w:hyperlink>
      <w:r>
        <w:rPr>
          <w:rFonts w:ascii="Arial" w:cs="Arial" w:eastAsia="Arial" w:hAnsi="Arial"/>
          <w:sz w:val="18"/>
          <w:szCs w:val="18"/>
          <w:u w:val="single" w:color="auto"/>
          <w:color w:val="0000FF"/>
        </w:rPr>
        <w:t xml:space="preserve"> </w:t>
      </w:r>
      <w:hyperlink r:id="rId370">
        <w:r>
          <w:rPr>
            <w:rFonts w:ascii="Arial" w:cs="Arial" w:eastAsia="Arial" w:hAnsi="Arial"/>
            <w:sz w:val="18"/>
            <w:szCs w:val="18"/>
            <w:u w:val="single" w:color="auto"/>
            <w:color w:val="0000FF"/>
          </w:rPr>
          <w:t>Scientific Games Corporation’s Quarterly Report on Form 10-Q for the quarter ended March 31,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-514350</wp:posOffset>
            </wp:positionV>
            <wp:extent cx="7132320" cy="514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71">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8" w:lineRule="exact"/>
        <w:rPr>
          <w:rFonts w:ascii="Arial" w:cs="Arial" w:eastAsia="Arial" w:hAnsi="Arial"/>
          <w:sz w:val="18"/>
          <w:szCs w:val="18"/>
          <w:u w:val="single" w:color="auto"/>
          <w:color w:val="0000FF"/>
        </w:rPr>
      </w:pPr>
    </w:p>
    <w:p>
      <w:pPr>
        <w:ind w:left="920" w:right="80" w:hanging="928"/>
        <w:spacing w:after="0" w:line="242" w:lineRule="auto"/>
        <w:tabs>
          <w:tab w:leader="none" w:pos="900" w:val="left"/>
        </w:tabs>
        <w:rPr>
          <w:rFonts w:ascii="Arial" w:cs="Arial" w:eastAsia="Arial" w:hAnsi="Arial"/>
          <w:sz w:val="19"/>
          <w:szCs w:val="19"/>
          <w:u w:val="single" w:color="auto"/>
          <w:color w:val="0000FF"/>
        </w:rPr>
      </w:pPr>
      <w:r>
        <w:rPr>
          <w:rFonts w:ascii="Arial" w:cs="Arial" w:eastAsia="Arial" w:hAnsi="Arial"/>
          <w:sz w:val="20"/>
          <w:szCs w:val="20"/>
          <w:color w:val="auto"/>
        </w:rPr>
        <w:t>10.25</w:t>
      </w:r>
      <w:r>
        <w:rPr>
          <w:sz w:val="20"/>
          <w:szCs w:val="20"/>
          <w:color w:val="auto"/>
        </w:rPr>
        <w:tab/>
      </w:r>
      <w:hyperlink r:id="rId372">
        <w:r>
          <w:rPr>
            <w:rFonts w:ascii="Arial" w:cs="Arial" w:eastAsia="Arial" w:hAnsi="Arial"/>
            <w:sz w:val="19"/>
            <w:szCs w:val="19"/>
            <w:u w:val="single" w:color="auto"/>
            <w:color w:val="0000FF"/>
          </w:rPr>
          <w:t>Scientific Games Corporation Change in Control Protection Plan, adopted as of August 25, 2020 (incorporated by reference</w:t>
        </w:r>
      </w:hyperlink>
      <w:r>
        <w:rPr>
          <w:rFonts w:ascii="Arial" w:cs="Arial" w:eastAsia="Arial" w:hAnsi="Arial"/>
          <w:sz w:val="19"/>
          <w:szCs w:val="19"/>
          <w:u w:val="single" w:color="auto"/>
          <w:color w:val="0000FF"/>
        </w:rPr>
        <w:t xml:space="preserve"> </w:t>
      </w:r>
      <w:hyperlink r:id="rId372">
        <w:r>
          <w:rPr>
            <w:rFonts w:ascii="Arial" w:cs="Arial" w:eastAsia="Arial" w:hAnsi="Arial"/>
            <w:sz w:val="19"/>
            <w:szCs w:val="19"/>
            <w:u w:val="single" w:color="auto"/>
            <w:color w:val="0000FF"/>
          </w:rPr>
          <w:t>to Exhibit 10.1 to Scientific Games Corporation’s Current Report on Form 8-K filed on August 25,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-276860</wp:posOffset>
            </wp:positionV>
            <wp:extent cx="7132320" cy="2743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7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933" w:right="379" w:bottom="1440" w:gutter="0" w:footer="0" w:header="0"/>
        </w:sectPr>
      </w:pPr>
    </w:p>
    <w:bookmarkStart w:id="143" w:name="page144"/>
    <w:bookmarkEnd w:id="143"/>
    <w:p>
      <w:pPr>
        <w:ind w:left="920" w:right="22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10.26</w:t>
      </w:r>
      <w:r>
        <w:rPr>
          <w:sz w:val="20"/>
          <w:szCs w:val="20"/>
          <w:color w:val="auto"/>
        </w:rPr>
        <w:tab/>
      </w:r>
      <w:hyperlink r:id="rId375">
        <w:r>
          <w:rPr>
            <w:rFonts w:ascii="Arial" w:cs="Arial" w:eastAsia="Arial" w:hAnsi="Arial"/>
            <w:sz w:val="20"/>
            <w:szCs w:val="20"/>
            <w:u w:val="single" w:color="auto"/>
            <w:color w:val="0000FF"/>
          </w:rPr>
          <w:t>Amended and Restated Employment Agreement, dated as of December 15, 2015, by and between Scientific Games</w:t>
        </w:r>
      </w:hyperlink>
      <w:r>
        <w:rPr>
          <w:rFonts w:ascii="Arial" w:cs="Arial" w:eastAsia="Arial" w:hAnsi="Arial"/>
          <w:sz w:val="20"/>
          <w:szCs w:val="20"/>
          <w:u w:val="single" w:color="auto"/>
          <w:color w:val="0000FF"/>
        </w:rPr>
        <w:t xml:space="preserve"> </w:t>
      </w:r>
      <w:hyperlink r:id="rId375">
        <w:r>
          <w:rPr>
            <w:rFonts w:ascii="Arial" w:cs="Arial" w:eastAsia="Arial" w:hAnsi="Arial"/>
            <w:sz w:val="20"/>
            <w:szCs w:val="20"/>
            <w:u w:val="single" w:color="auto"/>
            <w:color w:val="0000FF"/>
          </w:rPr>
          <w:t>Corporation and Michael Quartieri (incorporated by reference to Exhibit 10.47 to Scientific Games Corporation’s Annual</w:t>
        </w:r>
      </w:hyperlink>
      <w:r>
        <w:rPr>
          <w:rFonts w:ascii="Arial" w:cs="Arial" w:eastAsia="Arial" w:hAnsi="Arial"/>
          <w:sz w:val="20"/>
          <w:szCs w:val="20"/>
          <w:u w:val="single" w:color="auto"/>
          <w:color w:val="0000FF"/>
        </w:rPr>
        <w:t xml:space="preserve"> </w:t>
      </w:r>
      <w:hyperlink r:id="rId375">
        <w:r>
          <w:rPr>
            <w:rFonts w:ascii="Arial" w:cs="Arial" w:eastAsia="Arial" w:hAnsi="Arial"/>
            <w:sz w:val="20"/>
            <w:szCs w:val="20"/>
            <w:u w:val="single" w:color="auto"/>
            <w:color w:val="0000FF"/>
          </w:rPr>
          <w:t>Report on Form 10-K for the year ended December 31, 2015).*</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jc w:val="both"/>
        <w:ind w:left="920" w:right="100" w:hanging="928"/>
        <w:spacing w:after="0" w:line="236" w:lineRule="auto"/>
        <w:tabs>
          <w:tab w:leader="none" w:pos="900" w:val="left"/>
        </w:tabs>
        <w:rPr>
          <w:rFonts w:ascii="Arial" w:cs="Arial" w:eastAsia="Arial" w:hAnsi="Arial"/>
          <w:sz w:val="18"/>
          <w:szCs w:val="18"/>
          <w:u w:val="single" w:color="auto"/>
          <w:color w:val="0000FF"/>
        </w:rPr>
      </w:pPr>
      <w:r>
        <w:rPr>
          <w:rFonts w:ascii="Arial" w:cs="Arial" w:eastAsia="Arial" w:hAnsi="Arial"/>
          <w:sz w:val="20"/>
          <w:szCs w:val="20"/>
          <w:color w:val="auto"/>
        </w:rPr>
        <w:t>10.27</w:t>
      </w:r>
      <w:r>
        <w:rPr>
          <w:sz w:val="20"/>
          <w:szCs w:val="20"/>
          <w:color w:val="auto"/>
        </w:rPr>
        <w:tab/>
      </w:r>
      <w:hyperlink r:id="rId377">
        <w:r>
          <w:rPr>
            <w:rFonts w:ascii="Arial" w:cs="Arial" w:eastAsia="Arial" w:hAnsi="Arial"/>
            <w:sz w:val="18"/>
            <w:szCs w:val="18"/>
            <w:u w:val="single" w:color="auto"/>
            <w:color w:val="0000FF"/>
          </w:rPr>
          <w:t>Amendment to Amended and Restated Employment Agreement, dated as of December 17, 2018 (effective as of January 1,</w:t>
        </w:r>
      </w:hyperlink>
      <w:r>
        <w:rPr>
          <w:rFonts w:ascii="Arial" w:cs="Arial" w:eastAsia="Arial" w:hAnsi="Arial"/>
          <w:sz w:val="18"/>
          <w:szCs w:val="18"/>
          <w:u w:val="single" w:color="auto"/>
          <w:color w:val="0000FF"/>
        </w:rPr>
        <w:t xml:space="preserve"> </w:t>
      </w:r>
      <w:hyperlink r:id="rId377">
        <w:r>
          <w:rPr>
            <w:rFonts w:ascii="Arial" w:cs="Arial" w:eastAsia="Arial" w:hAnsi="Arial"/>
            <w:sz w:val="18"/>
            <w:szCs w:val="18"/>
            <w:u w:val="single" w:color="auto"/>
            <w:color w:val="0000FF"/>
          </w:rPr>
          <w:t>2019), by and between Scientific Games Corporation and Michael Quartieri, which amended Mr. Quartieri’s Amended and</w:t>
        </w:r>
      </w:hyperlink>
      <w:r>
        <w:rPr>
          <w:rFonts w:ascii="Arial" w:cs="Arial" w:eastAsia="Arial" w:hAnsi="Arial"/>
          <w:sz w:val="18"/>
          <w:szCs w:val="18"/>
          <w:u w:val="single" w:color="auto"/>
          <w:color w:val="0000FF"/>
        </w:rPr>
        <w:t xml:space="preserve"> </w:t>
      </w:r>
      <w:hyperlink r:id="rId377">
        <w:r>
          <w:rPr>
            <w:rFonts w:ascii="Arial" w:cs="Arial" w:eastAsia="Arial" w:hAnsi="Arial"/>
            <w:sz w:val="18"/>
            <w:szCs w:val="18"/>
            <w:u w:val="single" w:color="auto"/>
            <w:color w:val="0000FF"/>
          </w:rPr>
          <w:t>Restated Employment Agreement dated as of December 15, 2015 (incorporated by reference to Exhibit 10.25 to Scientific</w:t>
        </w:r>
      </w:hyperlink>
      <w:r>
        <w:rPr>
          <w:rFonts w:ascii="Arial" w:cs="Arial" w:eastAsia="Arial" w:hAnsi="Arial"/>
          <w:sz w:val="18"/>
          <w:szCs w:val="18"/>
          <w:u w:val="single" w:color="auto"/>
          <w:color w:val="0000FF"/>
        </w:rPr>
        <w:t xml:space="preserve"> </w:t>
      </w:r>
      <w:hyperlink r:id="rId377">
        <w:r>
          <w:rPr>
            <w:rFonts w:ascii="Arial" w:cs="Arial" w:eastAsia="Arial" w:hAnsi="Arial"/>
            <w:sz w:val="18"/>
            <w:szCs w:val="18"/>
            <w:u w:val="single" w:color="auto"/>
            <w:color w:val="0000FF"/>
          </w:rPr>
          <w:t>Games Corporation’s Annual Report on Form 10-K for the year ended December 31,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-514350</wp:posOffset>
            </wp:positionV>
            <wp:extent cx="7132320" cy="514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78">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78" w:lineRule="exact"/>
        <w:rPr>
          <w:rFonts w:ascii="Arial" w:cs="Arial" w:eastAsia="Arial" w:hAnsi="Arial"/>
          <w:sz w:val="18"/>
          <w:szCs w:val="18"/>
          <w:u w:val="single" w:color="auto"/>
          <w:color w:val="0000FF"/>
        </w:rPr>
      </w:pPr>
    </w:p>
    <w:p>
      <w:pPr>
        <w:jc w:val="both"/>
        <w:ind w:left="920" w:right="640" w:hanging="928"/>
        <w:spacing w:after="0" w:line="230" w:lineRule="auto"/>
        <w:tabs>
          <w:tab w:leader="none" w:pos="900" w:val="left"/>
        </w:tabs>
        <w:rPr>
          <w:rFonts w:ascii="Arial" w:cs="Arial" w:eastAsia="Arial" w:hAnsi="Arial"/>
          <w:sz w:val="19"/>
          <w:szCs w:val="19"/>
          <w:u w:val="single" w:color="auto"/>
          <w:color w:val="0000FF"/>
        </w:rPr>
      </w:pPr>
      <w:r>
        <w:rPr>
          <w:rFonts w:ascii="Arial" w:cs="Arial" w:eastAsia="Arial" w:hAnsi="Arial"/>
          <w:sz w:val="20"/>
          <w:szCs w:val="20"/>
          <w:color w:val="auto"/>
        </w:rPr>
        <w:t>10.28</w:t>
      </w:r>
      <w:r>
        <w:rPr>
          <w:sz w:val="20"/>
          <w:szCs w:val="20"/>
          <w:color w:val="auto"/>
        </w:rPr>
        <w:tab/>
      </w:r>
      <w:hyperlink r:id="rId379">
        <w:r>
          <w:rPr>
            <w:rFonts w:ascii="Arial" w:cs="Arial" w:eastAsia="Arial" w:hAnsi="Arial"/>
            <w:sz w:val="19"/>
            <w:szCs w:val="19"/>
            <w:u w:val="single" w:color="auto"/>
            <w:color w:val="0000FF"/>
          </w:rPr>
          <w:t>Amendment to Employment Agreement, dated as of March 24, 2020 (effective as of April 5, 2020), by and between</w:t>
        </w:r>
      </w:hyperlink>
      <w:r>
        <w:rPr>
          <w:rFonts w:ascii="Arial" w:cs="Arial" w:eastAsia="Arial" w:hAnsi="Arial"/>
          <w:sz w:val="19"/>
          <w:szCs w:val="19"/>
          <w:u w:val="single" w:color="auto"/>
          <w:color w:val="0000FF"/>
        </w:rPr>
        <w:t xml:space="preserve"> </w:t>
      </w:r>
      <w:hyperlink r:id="rId379">
        <w:r>
          <w:rPr>
            <w:rFonts w:ascii="Arial" w:cs="Arial" w:eastAsia="Arial" w:hAnsi="Arial"/>
            <w:sz w:val="19"/>
            <w:szCs w:val="19"/>
            <w:u w:val="single" w:color="auto"/>
            <w:color w:val="0000FF"/>
          </w:rPr>
          <w:t>Scientific Games Corporation and Michael Quartieri (incorporated by reference to Exhibit 10.2 to Scientific Games</w:t>
        </w:r>
      </w:hyperlink>
      <w:r>
        <w:rPr>
          <w:rFonts w:ascii="Arial" w:cs="Arial" w:eastAsia="Arial" w:hAnsi="Arial"/>
          <w:sz w:val="19"/>
          <w:szCs w:val="19"/>
          <w:u w:val="single" w:color="auto"/>
          <w:color w:val="0000FF"/>
        </w:rPr>
        <w:t xml:space="preserve"> </w:t>
      </w:r>
      <w:hyperlink r:id="rId379">
        <w:r>
          <w:rPr>
            <w:rFonts w:ascii="Arial" w:cs="Arial" w:eastAsia="Arial" w:hAnsi="Arial"/>
            <w:sz w:val="19"/>
            <w:szCs w:val="19"/>
            <w:u w:val="single" w:color="auto"/>
            <w:color w:val="0000FF"/>
          </w:rPr>
          <w:t>Corporation’s Quarterly Report on Form 10-Q for the quarter ended March 31, 2020).*</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-396240</wp:posOffset>
            </wp:positionV>
            <wp:extent cx="7132320" cy="3943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8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5" w:lineRule="exact"/>
        <w:rPr>
          <w:rFonts w:ascii="Arial" w:cs="Arial" w:eastAsia="Arial" w:hAnsi="Arial"/>
          <w:sz w:val="19"/>
          <w:szCs w:val="19"/>
          <w:u w:val="single" w:color="auto"/>
          <w:color w:val="0000FF"/>
        </w:rPr>
      </w:pPr>
    </w:p>
    <w:p>
      <w:pPr>
        <w:ind w:left="920" w:right="18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10.29</w:t>
      </w:r>
      <w:r>
        <w:rPr>
          <w:sz w:val="20"/>
          <w:szCs w:val="20"/>
          <w:color w:val="auto"/>
        </w:rPr>
        <w:tab/>
      </w:r>
      <w:hyperlink r:id="rId381">
        <w:r>
          <w:rPr>
            <w:rFonts w:ascii="Arial" w:cs="Arial" w:eastAsia="Arial" w:hAnsi="Arial"/>
            <w:sz w:val="20"/>
            <w:szCs w:val="20"/>
            <w:u w:val="single" w:color="auto"/>
            <w:color w:val="0000FF"/>
          </w:rPr>
          <w:t>Amendment to Employment Agreement, dated as of May 19, 2020, by and between Scientific Games Corporation and</w:t>
        </w:r>
      </w:hyperlink>
      <w:r>
        <w:rPr>
          <w:rFonts w:ascii="Arial" w:cs="Arial" w:eastAsia="Arial" w:hAnsi="Arial"/>
          <w:sz w:val="20"/>
          <w:szCs w:val="20"/>
          <w:u w:val="single" w:color="auto"/>
          <w:color w:val="0000FF"/>
        </w:rPr>
        <w:t xml:space="preserve"> </w:t>
      </w:r>
      <w:hyperlink r:id="rId381">
        <w:r>
          <w:rPr>
            <w:rFonts w:ascii="Arial" w:cs="Arial" w:eastAsia="Arial" w:hAnsi="Arial"/>
            <w:sz w:val="20"/>
            <w:szCs w:val="20"/>
            <w:u w:val="single" w:color="auto"/>
            <w:color w:val="0000FF"/>
          </w:rPr>
          <w:t>Michael Quartieri (incorporated by reference to Exhibit 10.4 to Scientific Games Corporation’s Quarterly Report on Form</w:t>
        </w:r>
      </w:hyperlink>
      <w:r>
        <w:rPr>
          <w:rFonts w:ascii="Arial" w:cs="Arial" w:eastAsia="Arial" w:hAnsi="Arial"/>
          <w:sz w:val="20"/>
          <w:szCs w:val="20"/>
          <w:u w:val="single" w:color="auto"/>
          <w:color w:val="0000FF"/>
        </w:rPr>
        <w:t xml:space="preserve"> </w:t>
      </w:r>
      <w:hyperlink r:id="rId381">
        <w:r>
          <w:rPr>
            <w:rFonts w:ascii="Arial" w:cs="Arial" w:eastAsia="Arial" w:hAnsi="Arial"/>
            <w:sz w:val="20"/>
            <w:szCs w:val="20"/>
            <w:u w:val="single" w:color="auto"/>
            <w:color w:val="0000FF"/>
          </w:rPr>
          <w:t>10-Q for the quarter ended June 30,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8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jc w:val="both"/>
        <w:ind w:left="92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10.30</w:t>
      </w:r>
      <w:r>
        <w:rPr>
          <w:sz w:val="20"/>
          <w:szCs w:val="20"/>
          <w:color w:val="auto"/>
        </w:rPr>
        <w:tab/>
      </w:r>
      <w:hyperlink r:id="rId383">
        <w:r>
          <w:rPr>
            <w:rFonts w:ascii="Arial" w:cs="Arial" w:eastAsia="Arial" w:hAnsi="Arial"/>
            <w:sz w:val="20"/>
            <w:szCs w:val="20"/>
            <w:u w:val="single" w:color="auto"/>
            <w:color w:val="0000FF"/>
          </w:rPr>
          <w:t>Consulting Agreement, entered into as of July 1, 2020, by and between Scientific Games Corporation and Michael Quartieri</w:t>
        </w:r>
      </w:hyperlink>
      <w:r>
        <w:rPr>
          <w:rFonts w:ascii="Arial" w:cs="Arial" w:eastAsia="Arial" w:hAnsi="Arial"/>
          <w:sz w:val="20"/>
          <w:szCs w:val="20"/>
          <w:u w:val="single" w:color="auto"/>
          <w:color w:val="0000FF"/>
        </w:rPr>
        <w:t xml:space="preserve"> </w:t>
      </w:r>
      <w:hyperlink r:id="rId383">
        <w:r>
          <w:rPr>
            <w:rFonts w:ascii="Arial" w:cs="Arial" w:eastAsia="Arial" w:hAnsi="Arial"/>
            <w:sz w:val="20"/>
            <w:szCs w:val="20"/>
            <w:u w:val="single" w:color="auto"/>
            <w:color w:val="0000FF"/>
          </w:rPr>
          <w:t>(incorporated by reference to Exhibit 10.5 to Scientific Games Corporation’s Quarterly Report on Form 10-Q for the quarter</w:t>
        </w:r>
      </w:hyperlink>
      <w:r>
        <w:rPr>
          <w:rFonts w:ascii="Arial" w:cs="Arial" w:eastAsia="Arial" w:hAnsi="Arial"/>
          <w:sz w:val="20"/>
          <w:szCs w:val="20"/>
          <w:u w:val="single" w:color="auto"/>
          <w:color w:val="0000FF"/>
        </w:rPr>
        <w:t xml:space="preserve"> </w:t>
      </w:r>
      <w:hyperlink r:id="rId383">
        <w:r>
          <w:rPr>
            <w:rFonts w:ascii="Arial" w:cs="Arial" w:eastAsia="Arial" w:hAnsi="Arial"/>
            <w:sz w:val="20"/>
            <w:szCs w:val="20"/>
            <w:u w:val="single" w:color="auto"/>
            <w:color w:val="0000FF"/>
          </w:rPr>
          <w:t>ended June 30,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84">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2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10.31</w:t>
      </w:r>
      <w:r>
        <w:rPr>
          <w:sz w:val="20"/>
          <w:szCs w:val="20"/>
          <w:color w:val="auto"/>
        </w:rPr>
        <w:tab/>
      </w:r>
      <w:hyperlink r:id="rId385">
        <w:r>
          <w:rPr>
            <w:rFonts w:ascii="Arial" w:cs="Arial" w:eastAsia="Arial" w:hAnsi="Arial"/>
            <w:sz w:val="20"/>
            <w:szCs w:val="20"/>
            <w:u w:val="single" w:color="auto"/>
            <w:color w:val="0000FF"/>
          </w:rPr>
          <w:t>Amended and Restated Employment Agreement, dated as of October 15, 2021, by and between Scientific Games</w:t>
        </w:r>
      </w:hyperlink>
      <w:r>
        <w:rPr>
          <w:rFonts w:ascii="Arial" w:cs="Arial" w:eastAsia="Arial" w:hAnsi="Arial"/>
          <w:sz w:val="20"/>
          <w:szCs w:val="20"/>
          <w:u w:val="single" w:color="auto"/>
          <w:color w:val="0000FF"/>
        </w:rPr>
        <w:t xml:space="preserve"> </w:t>
      </w:r>
      <w:hyperlink r:id="rId385">
        <w:r>
          <w:rPr>
            <w:rFonts w:ascii="Arial" w:cs="Arial" w:eastAsia="Arial" w:hAnsi="Arial"/>
            <w:sz w:val="20"/>
            <w:szCs w:val="20"/>
            <w:u w:val="single" w:color="auto"/>
            <w:color w:val="0000FF"/>
          </w:rPr>
          <w:t>Corporation and Constance P. James (incorporated by reference to Exhibit 10.3 to Scientific Games Corporation’s Quarterly</w:t>
        </w:r>
      </w:hyperlink>
      <w:r>
        <w:rPr>
          <w:rFonts w:ascii="Arial" w:cs="Arial" w:eastAsia="Arial" w:hAnsi="Arial"/>
          <w:sz w:val="20"/>
          <w:szCs w:val="20"/>
          <w:u w:val="single" w:color="auto"/>
          <w:color w:val="0000FF"/>
        </w:rPr>
        <w:t xml:space="preserve"> </w:t>
      </w:r>
      <w:hyperlink r:id="rId385">
        <w:r>
          <w:rPr>
            <w:rFonts w:ascii="Arial" w:cs="Arial" w:eastAsia="Arial" w:hAnsi="Arial"/>
            <w:sz w:val="20"/>
            <w:szCs w:val="20"/>
            <w:u w:val="single" w:color="auto"/>
            <w:color w:val="0000FF"/>
          </w:rPr>
          <w:t>Report on Form 10-Q for the quarter ending September 30,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86">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jc w:val="both"/>
        <w:ind w:left="920" w:right="24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10.32</w:t>
      </w:r>
      <w:r>
        <w:rPr>
          <w:sz w:val="20"/>
          <w:szCs w:val="20"/>
          <w:color w:val="auto"/>
        </w:rPr>
        <w:tab/>
      </w:r>
      <w:hyperlink r:id="rId387">
        <w:r>
          <w:rPr>
            <w:rFonts w:ascii="Arial" w:cs="Arial" w:eastAsia="Arial" w:hAnsi="Arial"/>
            <w:sz w:val="20"/>
            <w:szCs w:val="20"/>
            <w:u w:val="single" w:color="auto"/>
            <w:color w:val="0000FF"/>
          </w:rPr>
          <w:t>Scientific Games Corporation Amended and Restated 2016 Employee Stock Purchase Plan (Amended and Restated as of</w:t>
        </w:r>
      </w:hyperlink>
      <w:r>
        <w:rPr>
          <w:rFonts w:ascii="Arial" w:cs="Arial" w:eastAsia="Arial" w:hAnsi="Arial"/>
          <w:sz w:val="20"/>
          <w:szCs w:val="20"/>
          <w:u w:val="single" w:color="auto"/>
          <w:color w:val="0000FF"/>
        </w:rPr>
        <w:t xml:space="preserve"> </w:t>
      </w:r>
      <w:hyperlink r:id="rId387">
        <w:r>
          <w:rPr>
            <w:rFonts w:ascii="Arial" w:cs="Arial" w:eastAsia="Arial" w:hAnsi="Arial"/>
            <w:sz w:val="20"/>
            <w:szCs w:val="20"/>
            <w:u w:val="single" w:color="auto"/>
            <w:color w:val="0000FF"/>
          </w:rPr>
          <w:t>June 9, 2021) (incorporated by reference to Exhibit 10.2 to Scientific Games Corporation’s Current Report on Form 8-K</w:t>
        </w:r>
      </w:hyperlink>
      <w:r>
        <w:rPr>
          <w:rFonts w:ascii="Arial" w:cs="Arial" w:eastAsia="Arial" w:hAnsi="Arial"/>
          <w:sz w:val="20"/>
          <w:szCs w:val="20"/>
          <w:u w:val="single" w:color="auto"/>
          <w:color w:val="0000FF"/>
        </w:rPr>
        <w:t xml:space="preserve"> </w:t>
      </w:r>
      <w:hyperlink r:id="rId387">
        <w:r>
          <w:rPr>
            <w:rFonts w:ascii="Arial" w:cs="Arial" w:eastAsia="Arial" w:hAnsi="Arial"/>
            <w:sz w:val="20"/>
            <w:szCs w:val="20"/>
            <w:u w:val="single" w:color="auto"/>
            <w:color w:val="0000FF"/>
          </w:rPr>
          <w:t>filed on June 11,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88">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58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10.33</w:t>
      </w:r>
      <w:r>
        <w:rPr>
          <w:sz w:val="20"/>
          <w:szCs w:val="20"/>
          <w:color w:val="auto"/>
        </w:rPr>
        <w:tab/>
      </w:r>
      <w:hyperlink r:id="rId389">
        <w:r>
          <w:rPr>
            <w:rFonts w:ascii="Arial" w:cs="Arial" w:eastAsia="Arial" w:hAnsi="Arial"/>
            <w:sz w:val="20"/>
            <w:szCs w:val="20"/>
            <w:u w:val="single" w:color="auto"/>
            <w:color w:val="0000FF"/>
          </w:rPr>
          <w:t>Amended and Restated Employment Agreement dated as of February 27, 2017 by and between Scientific Games</w:t>
        </w:r>
      </w:hyperlink>
      <w:r>
        <w:rPr>
          <w:rFonts w:ascii="Arial" w:cs="Arial" w:eastAsia="Arial" w:hAnsi="Arial"/>
          <w:sz w:val="20"/>
          <w:szCs w:val="20"/>
          <w:u w:val="single" w:color="auto"/>
          <w:color w:val="0000FF"/>
        </w:rPr>
        <w:t xml:space="preserve"> </w:t>
      </w:r>
      <w:hyperlink r:id="rId389">
        <w:r>
          <w:rPr>
            <w:rFonts w:ascii="Arial" w:cs="Arial" w:eastAsia="Arial" w:hAnsi="Arial"/>
            <w:sz w:val="20"/>
            <w:szCs w:val="20"/>
            <w:u w:val="single" w:color="auto"/>
            <w:color w:val="0000FF"/>
          </w:rPr>
          <w:t>Corporation and Michael Winterscheidt (incorporated by reference to Exhibit 10.3 to Scientific Games Corporation's</w:t>
        </w:r>
      </w:hyperlink>
      <w:r>
        <w:rPr>
          <w:rFonts w:ascii="Arial" w:cs="Arial" w:eastAsia="Arial" w:hAnsi="Arial"/>
          <w:sz w:val="20"/>
          <w:szCs w:val="20"/>
          <w:u w:val="single" w:color="auto"/>
          <w:color w:val="0000FF"/>
        </w:rPr>
        <w:t xml:space="preserve"> </w:t>
      </w:r>
      <w:hyperlink r:id="rId389">
        <w:r>
          <w:rPr>
            <w:rFonts w:ascii="Arial" w:cs="Arial" w:eastAsia="Arial" w:hAnsi="Arial"/>
            <w:sz w:val="20"/>
            <w:szCs w:val="20"/>
            <w:u w:val="single" w:color="auto"/>
            <w:color w:val="0000FF"/>
          </w:rPr>
          <w:t>Quarterly Report on Form 10-Q for the quarter ended March 31, 2017).*</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9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40" w:hanging="928"/>
        <w:spacing w:after="0" w:line="230" w:lineRule="auto"/>
        <w:tabs>
          <w:tab w:leader="none" w:pos="900" w:val="left"/>
        </w:tabs>
        <w:rPr>
          <w:rFonts w:ascii="Arial" w:cs="Arial" w:eastAsia="Arial" w:hAnsi="Arial"/>
          <w:sz w:val="19"/>
          <w:szCs w:val="19"/>
          <w:u w:val="single" w:color="auto"/>
          <w:color w:val="0000FF"/>
        </w:rPr>
      </w:pPr>
      <w:r>
        <w:rPr>
          <w:rFonts w:ascii="Arial" w:cs="Arial" w:eastAsia="Arial" w:hAnsi="Arial"/>
          <w:sz w:val="20"/>
          <w:szCs w:val="20"/>
          <w:color w:val="auto"/>
        </w:rPr>
        <w:t>10.34</w:t>
      </w:r>
      <w:r>
        <w:rPr>
          <w:sz w:val="20"/>
          <w:szCs w:val="20"/>
          <w:color w:val="auto"/>
        </w:rPr>
        <w:tab/>
      </w:r>
      <w:hyperlink r:id="rId391">
        <w:r>
          <w:rPr>
            <w:rFonts w:ascii="Arial" w:cs="Arial" w:eastAsia="Arial" w:hAnsi="Arial"/>
            <w:sz w:val="19"/>
            <w:szCs w:val="19"/>
            <w:u w:val="single" w:color="auto"/>
            <w:color w:val="0000FF"/>
          </w:rPr>
          <w:t>Amendment to Employment Agreement, dated as of February 21, 2019 (effective as of February 25, 2019), by and between</w:t>
        </w:r>
      </w:hyperlink>
      <w:r>
        <w:rPr>
          <w:rFonts w:ascii="Arial" w:cs="Arial" w:eastAsia="Arial" w:hAnsi="Arial"/>
          <w:sz w:val="19"/>
          <w:szCs w:val="19"/>
          <w:u w:val="single" w:color="auto"/>
          <w:color w:val="0000FF"/>
        </w:rPr>
        <w:t xml:space="preserve"> </w:t>
      </w:r>
      <w:hyperlink r:id="rId391">
        <w:r>
          <w:rPr>
            <w:rFonts w:ascii="Arial" w:cs="Arial" w:eastAsia="Arial" w:hAnsi="Arial"/>
            <w:sz w:val="19"/>
            <w:szCs w:val="19"/>
            <w:u w:val="single" w:color="auto"/>
            <w:color w:val="0000FF"/>
          </w:rPr>
          <w:t>Scientific Games Corporation and Michael Winterscheidt (incorporated by reference to Exhibit 10.56 to Scientific Games</w:t>
        </w:r>
      </w:hyperlink>
      <w:r>
        <w:rPr>
          <w:rFonts w:ascii="Arial" w:cs="Arial" w:eastAsia="Arial" w:hAnsi="Arial"/>
          <w:sz w:val="19"/>
          <w:szCs w:val="19"/>
          <w:u w:val="single" w:color="auto"/>
          <w:color w:val="0000FF"/>
        </w:rPr>
        <w:t xml:space="preserve"> </w:t>
      </w:r>
      <w:hyperlink r:id="rId391">
        <w:r>
          <w:rPr>
            <w:rFonts w:ascii="Arial" w:cs="Arial" w:eastAsia="Arial" w:hAnsi="Arial"/>
            <w:sz w:val="19"/>
            <w:szCs w:val="19"/>
            <w:u w:val="single" w:color="auto"/>
            <w:color w:val="0000FF"/>
          </w:rPr>
          <w:t>Corporation’s Annual Report on Form 10-K for the year ended December 31, 2018).*</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-396240</wp:posOffset>
            </wp:positionV>
            <wp:extent cx="7132320" cy="3943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9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5" w:lineRule="exact"/>
        <w:rPr>
          <w:rFonts w:ascii="Arial" w:cs="Arial" w:eastAsia="Arial" w:hAnsi="Arial"/>
          <w:sz w:val="19"/>
          <w:szCs w:val="19"/>
          <w:u w:val="single" w:color="auto"/>
          <w:color w:val="0000FF"/>
        </w:rPr>
      </w:pPr>
    </w:p>
    <w:p>
      <w:pPr>
        <w:ind w:left="920" w:right="30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10.35</w:t>
      </w:r>
      <w:r>
        <w:rPr>
          <w:sz w:val="20"/>
          <w:szCs w:val="20"/>
          <w:color w:val="auto"/>
        </w:rPr>
        <w:tab/>
      </w:r>
      <w:hyperlink r:id="rId393">
        <w:r>
          <w:rPr>
            <w:rFonts w:ascii="Arial" w:cs="Arial" w:eastAsia="Arial" w:hAnsi="Arial"/>
            <w:sz w:val="20"/>
            <w:szCs w:val="20"/>
            <w:u w:val="single" w:color="auto"/>
            <w:color w:val="0000FF"/>
          </w:rPr>
          <w:t>Amendment to Employment Agreement, dated as of March 27, 2020 (effective as of April 5, 2020), by and between</w:t>
        </w:r>
      </w:hyperlink>
      <w:r>
        <w:rPr>
          <w:rFonts w:ascii="Arial" w:cs="Arial" w:eastAsia="Arial" w:hAnsi="Arial"/>
          <w:sz w:val="20"/>
          <w:szCs w:val="20"/>
          <w:u w:val="single" w:color="auto"/>
          <w:color w:val="0000FF"/>
        </w:rPr>
        <w:t xml:space="preserve"> </w:t>
      </w:r>
      <w:hyperlink r:id="rId393">
        <w:r>
          <w:rPr>
            <w:rFonts w:ascii="Arial" w:cs="Arial" w:eastAsia="Arial" w:hAnsi="Arial"/>
            <w:sz w:val="20"/>
            <w:szCs w:val="20"/>
            <w:u w:val="single" w:color="auto"/>
            <w:color w:val="0000FF"/>
          </w:rPr>
          <w:t>Scientific Games Corporation and Michael Winterscheidt (incorporated by reference to Exhibit 10.9 to Scientific Games</w:t>
        </w:r>
      </w:hyperlink>
      <w:r>
        <w:rPr>
          <w:rFonts w:ascii="Arial" w:cs="Arial" w:eastAsia="Arial" w:hAnsi="Arial"/>
          <w:sz w:val="20"/>
          <w:szCs w:val="20"/>
          <w:u w:val="single" w:color="auto"/>
          <w:color w:val="0000FF"/>
        </w:rPr>
        <w:t xml:space="preserve"> </w:t>
      </w:r>
      <w:hyperlink r:id="rId393">
        <w:r>
          <w:rPr>
            <w:rFonts w:ascii="Arial" w:cs="Arial" w:eastAsia="Arial" w:hAnsi="Arial"/>
            <w:sz w:val="20"/>
            <w:szCs w:val="20"/>
            <w:u w:val="single" w:color="auto"/>
            <w:color w:val="0000FF"/>
          </w:rPr>
          <w:t>Corporation’s Quarterly Report on Form 10-Q for the quarter ended March 31,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94">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16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10.36</w:t>
      </w:r>
      <w:r>
        <w:rPr>
          <w:sz w:val="20"/>
          <w:szCs w:val="20"/>
          <w:color w:val="auto"/>
        </w:rPr>
        <w:tab/>
      </w:r>
      <w:hyperlink r:id="rId395">
        <w:r>
          <w:rPr>
            <w:rFonts w:ascii="Arial" w:cs="Arial" w:eastAsia="Arial" w:hAnsi="Arial"/>
            <w:sz w:val="20"/>
            <w:szCs w:val="20"/>
            <w:u w:val="single" w:color="auto"/>
            <w:color w:val="0000FF"/>
          </w:rPr>
          <w:t>Amendment to Employment Agreement, dated as of May 18, 2020, by and between Scientific Games Corporation and</w:t>
        </w:r>
      </w:hyperlink>
      <w:r>
        <w:rPr>
          <w:rFonts w:ascii="Arial" w:cs="Arial" w:eastAsia="Arial" w:hAnsi="Arial"/>
          <w:sz w:val="20"/>
          <w:szCs w:val="20"/>
          <w:u w:val="single" w:color="auto"/>
          <w:color w:val="0000FF"/>
        </w:rPr>
        <w:t xml:space="preserve"> </w:t>
      </w:r>
      <w:hyperlink r:id="rId395">
        <w:r>
          <w:rPr>
            <w:rFonts w:ascii="Arial" w:cs="Arial" w:eastAsia="Arial" w:hAnsi="Arial"/>
            <w:sz w:val="20"/>
            <w:szCs w:val="20"/>
            <w:u w:val="single" w:color="auto"/>
            <w:color w:val="0000FF"/>
          </w:rPr>
          <w:t>Michael Winterscheidt (incorporated by reference to Exhibit 10.15 to Scientific Games Corporation’s Quarterly Report on</w:t>
        </w:r>
      </w:hyperlink>
      <w:r>
        <w:rPr>
          <w:rFonts w:ascii="Arial" w:cs="Arial" w:eastAsia="Arial" w:hAnsi="Arial"/>
          <w:sz w:val="20"/>
          <w:szCs w:val="20"/>
          <w:u w:val="single" w:color="auto"/>
          <w:color w:val="0000FF"/>
        </w:rPr>
        <w:t xml:space="preserve"> </w:t>
      </w:r>
      <w:hyperlink r:id="rId395">
        <w:r>
          <w:rPr>
            <w:rFonts w:ascii="Arial" w:cs="Arial" w:eastAsia="Arial" w:hAnsi="Arial"/>
            <w:sz w:val="20"/>
            <w:szCs w:val="20"/>
            <w:u w:val="single" w:color="auto"/>
            <w:color w:val="0000FF"/>
          </w:rPr>
          <w:t>Form 10-Q for the quarter ended June 30,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96">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52" w:lineRule="exact"/>
        <w:rPr>
          <w:rFonts w:ascii="Arial" w:cs="Arial" w:eastAsia="Arial" w:hAnsi="Arial"/>
          <w:sz w:val="20"/>
          <w:szCs w:val="20"/>
          <w:u w:val="single" w:color="auto"/>
          <w:color w:val="0000FF"/>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20"/>
          <w:szCs w:val="20"/>
          <w:color w:val="auto"/>
        </w:rPr>
        <w:t>10.37</w:t>
      </w:r>
      <w:r>
        <w:rPr>
          <w:sz w:val="20"/>
          <w:szCs w:val="20"/>
          <w:color w:val="auto"/>
        </w:rPr>
        <w:tab/>
      </w:r>
      <w:hyperlink r:id="rId397">
        <w:r>
          <w:rPr>
            <w:rFonts w:ascii="Arial" w:cs="Arial" w:eastAsia="Arial" w:hAnsi="Arial"/>
            <w:sz w:val="16"/>
            <w:szCs w:val="16"/>
            <w:u w:val="single" w:color="auto"/>
            <w:color w:val="0000FF"/>
          </w:rPr>
          <w:t>Amendment to Employment Agreement, dated as of June 30, 2020 (effective as of July 1, 2020), by and between Scientific</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-127635</wp:posOffset>
            </wp:positionV>
            <wp:extent cx="7132320" cy="3943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98">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ind w:left="920" w:right="1000"/>
        <w:spacing w:after="0" w:line="232" w:lineRule="auto"/>
        <w:rPr>
          <w:rFonts w:ascii="Arial" w:cs="Arial" w:eastAsia="Arial" w:hAnsi="Arial"/>
          <w:sz w:val="19"/>
          <w:szCs w:val="19"/>
          <w:u w:val="single" w:color="auto"/>
          <w:color w:val="0000FF"/>
        </w:rPr>
      </w:pPr>
      <w:hyperlink r:id="rId397">
        <w:r>
          <w:rPr>
            <w:rFonts w:ascii="Arial" w:cs="Arial" w:eastAsia="Arial" w:hAnsi="Arial"/>
            <w:sz w:val="19"/>
            <w:szCs w:val="19"/>
            <w:u w:val="single" w:color="auto"/>
            <w:color w:val="0000FF"/>
          </w:rPr>
          <w:t>Games Corporation and Michael Winterscheidt (incorporated by reference to Exhibit 10.16 to Scientific Games</w:t>
        </w:r>
      </w:hyperlink>
      <w:r>
        <w:rPr>
          <w:rFonts w:ascii="Arial" w:cs="Arial" w:eastAsia="Arial" w:hAnsi="Arial"/>
          <w:sz w:val="19"/>
          <w:szCs w:val="19"/>
          <w:u w:val="single" w:color="auto"/>
          <w:color w:val="0000FF"/>
        </w:rPr>
        <w:t xml:space="preserve"> </w:t>
      </w:r>
      <w:hyperlink r:id="rId397">
        <w:r>
          <w:rPr>
            <w:rFonts w:ascii="Arial" w:cs="Arial" w:eastAsia="Arial" w:hAnsi="Arial"/>
            <w:sz w:val="19"/>
            <w:szCs w:val="19"/>
            <w:u w:val="single" w:color="auto"/>
            <w:color w:val="0000FF"/>
          </w:rPr>
          <w:t>Corporation’s Quarterly Report on Form 10-Q for the quarter ended June 30, 2020).*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00" w:top="1135" w:right="439" w:bottom="1440" w:gutter="0" w:footer="0" w:header="0"/>
        </w:sectPr>
      </w:pPr>
    </w:p>
    <w:bookmarkStart w:id="144" w:name="page145"/>
    <w:bookmarkEnd w:id="144"/>
    <w:p>
      <w:pPr>
        <w:ind w:left="920" w:right="18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10.38</w:t>
      </w:r>
      <w:r>
        <w:rPr>
          <w:sz w:val="20"/>
          <w:szCs w:val="20"/>
          <w:color w:val="auto"/>
        </w:rPr>
        <w:tab/>
      </w:r>
      <w:hyperlink r:id="rId400">
        <w:r>
          <w:rPr>
            <w:rFonts w:ascii="Arial" w:cs="Arial" w:eastAsia="Arial" w:hAnsi="Arial"/>
            <w:sz w:val="20"/>
            <w:szCs w:val="20"/>
            <w:u w:val="single" w:color="auto"/>
            <w:color w:val="0000FF"/>
          </w:rPr>
          <w:t>Amendment to Employment Agreement, dated as of February 23, 2021, by and between Scientific Games Corporation and</w:t>
        </w:r>
      </w:hyperlink>
      <w:r>
        <w:rPr>
          <w:rFonts w:ascii="Arial" w:cs="Arial" w:eastAsia="Arial" w:hAnsi="Arial"/>
          <w:sz w:val="20"/>
          <w:szCs w:val="20"/>
          <w:u w:val="single" w:color="auto"/>
          <w:color w:val="0000FF"/>
        </w:rPr>
        <w:t xml:space="preserve"> </w:t>
      </w:r>
      <w:hyperlink r:id="rId400">
        <w:r>
          <w:rPr>
            <w:rFonts w:ascii="Arial" w:cs="Arial" w:eastAsia="Arial" w:hAnsi="Arial"/>
            <w:sz w:val="20"/>
            <w:szCs w:val="20"/>
            <w:u w:val="single" w:color="auto"/>
            <w:color w:val="0000FF"/>
          </w:rPr>
          <w:t>Michael Winterscheidt (incorporated by reference to Exhibit 10.2 to Scientific Games Corporation’s Quarterly Report on</w:t>
        </w:r>
      </w:hyperlink>
      <w:r>
        <w:rPr>
          <w:rFonts w:ascii="Arial" w:cs="Arial" w:eastAsia="Arial" w:hAnsi="Arial"/>
          <w:sz w:val="20"/>
          <w:szCs w:val="20"/>
          <w:u w:val="single" w:color="auto"/>
          <w:color w:val="0000FF"/>
        </w:rPr>
        <w:t xml:space="preserve"> </w:t>
      </w:r>
      <w:hyperlink r:id="rId400">
        <w:r>
          <w:rPr>
            <w:rFonts w:ascii="Arial" w:cs="Arial" w:eastAsia="Arial" w:hAnsi="Arial"/>
            <w:sz w:val="20"/>
            <w:szCs w:val="20"/>
            <w:u w:val="single" w:color="auto"/>
            <w:color w:val="0000FF"/>
          </w:rPr>
          <w:t>Form 10-Q for the quarter ending March 31,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401">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44" w:lineRule="exact"/>
        <w:rPr>
          <w:rFonts w:ascii="Arial" w:cs="Arial" w:eastAsia="Arial" w:hAnsi="Arial"/>
          <w:sz w:val="20"/>
          <w:szCs w:val="20"/>
          <w:u w:val="single" w:color="auto"/>
          <w:color w:val="0000FF"/>
        </w:rPr>
      </w:pPr>
    </w:p>
    <w:p>
      <w:pPr>
        <w:ind w:left="920" w:right="34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10.39</w:t>
      </w:r>
      <w:r>
        <w:rPr>
          <w:sz w:val="20"/>
          <w:szCs w:val="20"/>
          <w:color w:val="auto"/>
        </w:rPr>
        <w:tab/>
      </w:r>
      <w:hyperlink r:id="rId402">
        <w:r>
          <w:rPr>
            <w:rFonts w:ascii="Arial" w:cs="Arial" w:eastAsia="Arial" w:hAnsi="Arial"/>
            <w:sz w:val="20"/>
            <w:szCs w:val="20"/>
            <w:u w:val="single" w:color="auto"/>
            <w:color w:val="0000FF"/>
          </w:rPr>
          <w:t>Amendment to Employment Agreement, dated as of April 27, 2021, by and between Scientific Games Corporation and</w:t>
        </w:r>
      </w:hyperlink>
      <w:r>
        <w:rPr>
          <w:rFonts w:ascii="Arial" w:cs="Arial" w:eastAsia="Arial" w:hAnsi="Arial"/>
          <w:sz w:val="20"/>
          <w:szCs w:val="20"/>
          <w:u w:val="single" w:color="auto"/>
          <w:color w:val="0000FF"/>
        </w:rPr>
        <w:t xml:space="preserve"> </w:t>
      </w:r>
      <w:hyperlink r:id="rId402">
        <w:r>
          <w:rPr>
            <w:rFonts w:ascii="Arial" w:cs="Arial" w:eastAsia="Arial" w:hAnsi="Arial"/>
            <w:sz w:val="20"/>
            <w:szCs w:val="20"/>
            <w:u w:val="single" w:color="auto"/>
            <w:color w:val="0000FF"/>
          </w:rPr>
          <w:t>Michael Winterscheidt (incorporated by reference to Exhibit 10.2 to Scientific Games Corporation’s Quarterly Report on</w:t>
        </w:r>
      </w:hyperlink>
      <w:r>
        <w:rPr>
          <w:rFonts w:ascii="Arial" w:cs="Arial" w:eastAsia="Arial" w:hAnsi="Arial"/>
          <w:sz w:val="20"/>
          <w:szCs w:val="20"/>
          <w:u w:val="single" w:color="auto"/>
          <w:color w:val="0000FF"/>
        </w:rPr>
        <w:t xml:space="preserve"> </w:t>
      </w:r>
      <w:hyperlink r:id="rId402">
        <w:r>
          <w:rPr>
            <w:rFonts w:ascii="Arial" w:cs="Arial" w:eastAsia="Arial" w:hAnsi="Arial"/>
            <w:sz w:val="20"/>
            <w:szCs w:val="20"/>
            <w:u w:val="single" w:color="auto"/>
            <w:color w:val="0000FF"/>
          </w:rPr>
          <w:t>Form 10-Q for the quarter ending June 30,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403">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31" w:lineRule="exact"/>
        <w:rPr>
          <w:rFonts w:ascii="Arial" w:cs="Arial" w:eastAsia="Arial" w:hAnsi="Arial"/>
          <w:sz w:val="20"/>
          <w:szCs w:val="20"/>
          <w:u w:val="single" w:color="auto"/>
          <w:color w:val="0000FF"/>
        </w:rPr>
      </w:pPr>
    </w:p>
    <w:p>
      <w:pPr>
        <w:ind w:left="920" w:right="580" w:hanging="928"/>
        <w:spacing w:after="0" w:line="229"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10.40</w:t>
      </w:r>
      <w:r>
        <w:rPr>
          <w:sz w:val="20"/>
          <w:szCs w:val="20"/>
          <w:color w:val="auto"/>
        </w:rPr>
        <w:tab/>
      </w:r>
      <w:hyperlink w:anchor="page187">
        <w:r>
          <w:rPr>
            <w:rFonts w:ascii="Arial" w:cs="Arial" w:eastAsia="Arial" w:hAnsi="Arial"/>
            <w:sz w:val="20"/>
            <w:szCs w:val="20"/>
            <w:u w:val="single" w:color="auto"/>
            <w:color w:val="0000FF"/>
          </w:rPr>
          <w:t>Engagement Letter, entered into as of November 23, 2021 by and between Scientific Games Corporation and Michael</w:t>
        </w:r>
      </w:hyperlink>
      <w:r>
        <w:rPr>
          <w:rFonts w:ascii="Arial" w:cs="Arial" w:eastAsia="Arial" w:hAnsi="Arial"/>
          <w:sz w:val="20"/>
          <w:szCs w:val="20"/>
          <w:u w:val="single" w:color="auto"/>
          <w:color w:val="0000FF"/>
        </w:rPr>
        <w:t xml:space="preserve"> </w:t>
      </w:r>
      <w:hyperlink w:anchor="page187">
        <w:r>
          <w:rPr>
            <w:rFonts w:ascii="Arial" w:cs="Arial" w:eastAsia="Arial" w:hAnsi="Arial"/>
            <w:sz w:val="20"/>
            <w:szCs w:val="20"/>
            <w:u w:val="single" w:color="auto"/>
            <w:color w:val="0000FF"/>
          </w:rPr>
          <w:t>Winterscheidt d/b/a Uphill Consulting.*(†)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-276225</wp:posOffset>
            </wp:positionV>
            <wp:extent cx="7132320" cy="274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0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43" w:lineRule="exact"/>
        <w:rPr>
          <w:sz w:val="20"/>
          <w:szCs w:val="20"/>
          <w:color w:val="auto"/>
        </w:rPr>
      </w:pPr>
    </w:p>
    <w:p>
      <w:pPr>
        <w:ind w:left="920" w:right="8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10.41</w:t>
      </w:r>
      <w:r>
        <w:rPr>
          <w:sz w:val="20"/>
          <w:szCs w:val="20"/>
          <w:color w:val="auto"/>
        </w:rPr>
        <w:tab/>
      </w:r>
      <w:hyperlink r:id="rId405">
        <w:r>
          <w:rPr>
            <w:rFonts w:ascii="Arial" w:cs="Arial" w:eastAsia="Arial" w:hAnsi="Arial"/>
            <w:sz w:val="20"/>
            <w:szCs w:val="20"/>
            <w:u w:val="single" w:color="auto"/>
            <w:color w:val="0000FF"/>
          </w:rPr>
          <w:t>Letter Agreement, dated February 21, 2018, by and between Scientific Games Corporation and Stephen Richardson</w:t>
        </w:r>
      </w:hyperlink>
      <w:r>
        <w:rPr>
          <w:rFonts w:ascii="Arial" w:cs="Arial" w:eastAsia="Arial" w:hAnsi="Arial"/>
          <w:sz w:val="20"/>
          <w:szCs w:val="20"/>
          <w:u w:val="single" w:color="auto"/>
          <w:color w:val="0000FF"/>
        </w:rPr>
        <w:t xml:space="preserve"> </w:t>
      </w:r>
      <w:hyperlink r:id="rId405">
        <w:r>
          <w:rPr>
            <w:rFonts w:ascii="Arial" w:cs="Arial" w:eastAsia="Arial" w:hAnsi="Arial"/>
            <w:sz w:val="20"/>
            <w:szCs w:val="20"/>
            <w:u w:val="single" w:color="auto"/>
            <w:color w:val="0000FF"/>
          </w:rPr>
          <w:t>(incorporated by reference to Exhibit 10.5 to Scientific Games Corporation’s Quarterly Report on Form 10-Q for the quarter</w:t>
        </w:r>
      </w:hyperlink>
      <w:r>
        <w:rPr>
          <w:rFonts w:ascii="Arial" w:cs="Arial" w:eastAsia="Arial" w:hAnsi="Arial"/>
          <w:sz w:val="20"/>
          <w:szCs w:val="20"/>
          <w:u w:val="single" w:color="auto"/>
          <w:color w:val="0000FF"/>
        </w:rPr>
        <w:t xml:space="preserve"> </w:t>
      </w:r>
      <w:hyperlink r:id="rId405">
        <w:r>
          <w:rPr>
            <w:rFonts w:ascii="Arial" w:cs="Arial" w:eastAsia="Arial" w:hAnsi="Arial"/>
            <w:sz w:val="20"/>
            <w:szCs w:val="20"/>
            <w:u w:val="single" w:color="auto"/>
            <w:color w:val="0000FF"/>
          </w:rPr>
          <w:t>ended March 31, 2018).*</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06">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580" w:hanging="928"/>
        <w:spacing w:after="0" w:line="230" w:lineRule="auto"/>
        <w:tabs>
          <w:tab w:leader="none" w:pos="900" w:val="left"/>
        </w:tabs>
        <w:rPr>
          <w:rFonts w:ascii="Arial" w:cs="Arial" w:eastAsia="Arial" w:hAnsi="Arial"/>
          <w:sz w:val="19"/>
          <w:szCs w:val="19"/>
          <w:u w:val="single" w:color="auto"/>
          <w:color w:val="0000FF"/>
        </w:rPr>
      </w:pPr>
      <w:r>
        <w:rPr>
          <w:rFonts w:ascii="Arial" w:cs="Arial" w:eastAsia="Arial" w:hAnsi="Arial"/>
          <w:sz w:val="20"/>
          <w:szCs w:val="20"/>
          <w:color w:val="auto"/>
        </w:rPr>
        <w:t>10.42</w:t>
      </w:r>
      <w:r>
        <w:rPr>
          <w:sz w:val="20"/>
          <w:szCs w:val="20"/>
          <w:color w:val="auto"/>
        </w:rPr>
        <w:tab/>
      </w:r>
      <w:hyperlink r:id="rId407">
        <w:r>
          <w:rPr>
            <w:rFonts w:ascii="Arial" w:cs="Arial" w:eastAsia="Arial" w:hAnsi="Arial"/>
            <w:sz w:val="19"/>
            <w:szCs w:val="19"/>
            <w:u w:val="single" w:color="auto"/>
            <w:color w:val="0000FF"/>
          </w:rPr>
          <w:t>Amendment to Employment Agreement, dated as of March 27, 2020 (effective as of April 5, 2020), by and between</w:t>
        </w:r>
      </w:hyperlink>
      <w:r>
        <w:rPr>
          <w:rFonts w:ascii="Arial" w:cs="Arial" w:eastAsia="Arial" w:hAnsi="Arial"/>
          <w:sz w:val="19"/>
          <w:szCs w:val="19"/>
          <w:u w:val="single" w:color="auto"/>
          <w:color w:val="0000FF"/>
        </w:rPr>
        <w:t xml:space="preserve"> </w:t>
      </w:r>
      <w:hyperlink r:id="rId407">
        <w:r>
          <w:rPr>
            <w:rFonts w:ascii="Arial" w:cs="Arial" w:eastAsia="Arial" w:hAnsi="Arial"/>
            <w:sz w:val="19"/>
            <w:szCs w:val="19"/>
            <w:u w:val="single" w:color="auto"/>
            <w:color w:val="0000FF"/>
          </w:rPr>
          <w:t>Scientific Games Corporation and Stephen Richardson (incorporated by reference to Exhibit 10.8 to Scientific Games</w:t>
        </w:r>
      </w:hyperlink>
      <w:r>
        <w:rPr>
          <w:rFonts w:ascii="Arial" w:cs="Arial" w:eastAsia="Arial" w:hAnsi="Arial"/>
          <w:sz w:val="19"/>
          <w:szCs w:val="19"/>
          <w:u w:val="single" w:color="auto"/>
          <w:color w:val="0000FF"/>
        </w:rPr>
        <w:t xml:space="preserve"> </w:t>
      </w:r>
      <w:hyperlink r:id="rId407">
        <w:r>
          <w:rPr>
            <w:rFonts w:ascii="Arial" w:cs="Arial" w:eastAsia="Arial" w:hAnsi="Arial"/>
            <w:sz w:val="19"/>
            <w:szCs w:val="19"/>
            <w:u w:val="single" w:color="auto"/>
            <w:color w:val="0000FF"/>
          </w:rPr>
          <w:t>Corporation’s Quarterly Report on Form 10-Q for the quarter ended March 31, 2020).*</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-396240</wp:posOffset>
            </wp:positionV>
            <wp:extent cx="7132320" cy="3943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408">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5" w:lineRule="exact"/>
        <w:rPr>
          <w:rFonts w:ascii="Arial" w:cs="Arial" w:eastAsia="Arial" w:hAnsi="Arial"/>
          <w:sz w:val="19"/>
          <w:szCs w:val="19"/>
          <w:u w:val="single" w:color="auto"/>
          <w:color w:val="0000FF"/>
        </w:rPr>
      </w:pPr>
    </w:p>
    <w:p>
      <w:pPr>
        <w:ind w:left="920" w:right="16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10.43</w:t>
      </w:r>
      <w:r>
        <w:rPr>
          <w:sz w:val="20"/>
          <w:szCs w:val="20"/>
          <w:color w:val="auto"/>
        </w:rPr>
        <w:tab/>
      </w:r>
      <w:hyperlink r:id="rId409">
        <w:r>
          <w:rPr>
            <w:rFonts w:ascii="Arial" w:cs="Arial" w:eastAsia="Arial" w:hAnsi="Arial"/>
            <w:sz w:val="20"/>
            <w:szCs w:val="20"/>
            <w:u w:val="single" w:color="auto"/>
            <w:color w:val="0000FF"/>
          </w:rPr>
          <w:t>Amendment to Employment Letter, dated as of June 30, 2020 (effective as of July 1, 2020), by and between Scientific</w:t>
        </w:r>
      </w:hyperlink>
      <w:r>
        <w:rPr>
          <w:rFonts w:ascii="Arial" w:cs="Arial" w:eastAsia="Arial" w:hAnsi="Arial"/>
          <w:sz w:val="20"/>
          <w:szCs w:val="20"/>
          <w:u w:val="single" w:color="auto"/>
          <w:color w:val="0000FF"/>
        </w:rPr>
        <w:t xml:space="preserve"> </w:t>
      </w:r>
      <w:hyperlink r:id="rId409">
        <w:r>
          <w:rPr>
            <w:rFonts w:ascii="Arial" w:cs="Arial" w:eastAsia="Arial" w:hAnsi="Arial"/>
            <w:sz w:val="20"/>
            <w:szCs w:val="20"/>
            <w:u w:val="single" w:color="auto"/>
            <w:color w:val="0000FF"/>
          </w:rPr>
          <w:t>Games Corporation and Stephen Richardson (incorporated by reference to Exhibit 10.13 to Scientific Games Corporation’s</w:t>
        </w:r>
      </w:hyperlink>
      <w:r>
        <w:rPr>
          <w:rFonts w:ascii="Arial" w:cs="Arial" w:eastAsia="Arial" w:hAnsi="Arial"/>
          <w:sz w:val="20"/>
          <w:szCs w:val="20"/>
          <w:u w:val="single" w:color="auto"/>
          <w:color w:val="0000FF"/>
        </w:rPr>
        <w:t xml:space="preserve"> </w:t>
      </w:r>
      <w:hyperlink r:id="rId409">
        <w:r>
          <w:rPr>
            <w:rFonts w:ascii="Arial" w:cs="Arial" w:eastAsia="Arial" w:hAnsi="Arial"/>
            <w:sz w:val="20"/>
            <w:szCs w:val="20"/>
            <w:u w:val="single" w:color="auto"/>
            <w:color w:val="0000FF"/>
          </w:rPr>
          <w:t>Quarterly Report on Form 10-Q for the quarter ended June 30,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1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2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10.44</w:t>
      </w:r>
      <w:r>
        <w:rPr>
          <w:sz w:val="20"/>
          <w:szCs w:val="20"/>
          <w:color w:val="auto"/>
        </w:rPr>
        <w:tab/>
      </w:r>
      <w:hyperlink r:id="rId411">
        <w:r>
          <w:rPr>
            <w:rFonts w:ascii="Arial" w:cs="Arial" w:eastAsia="Arial" w:hAnsi="Arial"/>
            <w:sz w:val="20"/>
            <w:szCs w:val="20"/>
            <w:u w:val="single" w:color="auto"/>
            <w:color w:val="0000FF"/>
          </w:rPr>
          <w:t>Amended and Restated Employment Agreement, dated as of February 5, 2021 (effective as of June 1, 2021), by and between</w:t>
        </w:r>
      </w:hyperlink>
      <w:r>
        <w:rPr>
          <w:rFonts w:ascii="Arial" w:cs="Arial" w:eastAsia="Arial" w:hAnsi="Arial"/>
          <w:sz w:val="20"/>
          <w:szCs w:val="20"/>
          <w:u w:val="single" w:color="auto"/>
          <w:color w:val="0000FF"/>
        </w:rPr>
        <w:t xml:space="preserve"> </w:t>
      </w:r>
      <w:hyperlink r:id="rId411">
        <w:r>
          <w:rPr>
            <w:rFonts w:ascii="Arial" w:cs="Arial" w:eastAsia="Arial" w:hAnsi="Arial"/>
            <w:sz w:val="20"/>
            <w:szCs w:val="20"/>
            <w:u w:val="single" w:color="auto"/>
            <w:color w:val="0000FF"/>
          </w:rPr>
          <w:t>Scientific Games Corporation and Barry Cottle (incorporated by reference to Exhibit 10.52 to Scientific Games</w:t>
        </w:r>
      </w:hyperlink>
      <w:r>
        <w:rPr>
          <w:rFonts w:ascii="Arial" w:cs="Arial" w:eastAsia="Arial" w:hAnsi="Arial"/>
          <w:sz w:val="20"/>
          <w:szCs w:val="20"/>
          <w:u w:val="single" w:color="auto"/>
          <w:color w:val="0000FF"/>
        </w:rPr>
        <w:t xml:space="preserve"> </w:t>
      </w:r>
      <w:hyperlink r:id="rId411">
        <w:r>
          <w:rPr>
            <w:rFonts w:ascii="Arial" w:cs="Arial" w:eastAsia="Arial" w:hAnsi="Arial"/>
            <w:sz w:val="20"/>
            <w:szCs w:val="20"/>
            <w:u w:val="single" w:color="auto"/>
            <w:color w:val="0000FF"/>
          </w:rPr>
          <w:t>Corporation’s Annual Report on Form 10-K for the year ended December 31,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1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10.45</w:t>
      </w:r>
      <w:r>
        <w:rPr>
          <w:sz w:val="20"/>
          <w:szCs w:val="20"/>
          <w:color w:val="auto"/>
        </w:rPr>
        <w:tab/>
      </w:r>
      <w:hyperlink r:id="rId413">
        <w:r>
          <w:rPr>
            <w:rFonts w:ascii="Arial" w:cs="Arial" w:eastAsia="Arial" w:hAnsi="Arial"/>
            <w:sz w:val="20"/>
            <w:szCs w:val="20"/>
            <w:u w:val="single" w:color="auto"/>
            <w:color w:val="0000FF"/>
          </w:rPr>
          <w:t>Employment Agreement, dated as of August 2, 2021 (effective as of September 1, 2021), by and between Scientific Games</w:t>
        </w:r>
      </w:hyperlink>
      <w:r>
        <w:rPr>
          <w:rFonts w:ascii="Arial" w:cs="Arial" w:eastAsia="Arial" w:hAnsi="Arial"/>
          <w:sz w:val="20"/>
          <w:szCs w:val="20"/>
          <w:u w:val="single" w:color="auto"/>
          <w:color w:val="0000FF"/>
        </w:rPr>
        <w:t xml:space="preserve"> </w:t>
      </w:r>
      <w:hyperlink r:id="rId413">
        <w:r>
          <w:rPr>
            <w:rFonts w:ascii="Arial" w:cs="Arial" w:eastAsia="Arial" w:hAnsi="Arial"/>
            <w:sz w:val="20"/>
            <w:szCs w:val="20"/>
            <w:u w:val="single" w:color="auto"/>
            <w:color w:val="0000FF"/>
          </w:rPr>
          <w:t>Corporation and James Sottile (incorporated by reference to Exhibit 10.3 to Scientific Games Corporation’s Quarterly Report</w:t>
        </w:r>
      </w:hyperlink>
      <w:r>
        <w:rPr>
          <w:rFonts w:ascii="Arial" w:cs="Arial" w:eastAsia="Arial" w:hAnsi="Arial"/>
          <w:sz w:val="20"/>
          <w:szCs w:val="20"/>
          <w:u w:val="single" w:color="auto"/>
          <w:color w:val="0000FF"/>
        </w:rPr>
        <w:t xml:space="preserve"> </w:t>
      </w:r>
      <w:hyperlink r:id="rId413">
        <w:r>
          <w:rPr>
            <w:rFonts w:ascii="Arial" w:cs="Arial" w:eastAsia="Arial" w:hAnsi="Arial"/>
            <w:sz w:val="20"/>
            <w:szCs w:val="20"/>
            <w:u w:val="single" w:color="auto"/>
            <w:color w:val="0000FF"/>
          </w:rPr>
          <w:t>on Form 10-Q for the quarter ended June 30,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414">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6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10.46</w:t>
      </w:r>
      <w:r>
        <w:rPr>
          <w:sz w:val="20"/>
          <w:szCs w:val="20"/>
          <w:color w:val="auto"/>
        </w:rPr>
        <w:tab/>
      </w:r>
      <w:hyperlink r:id="rId415">
        <w:r>
          <w:rPr>
            <w:rFonts w:ascii="Arial" w:cs="Arial" w:eastAsia="Arial" w:hAnsi="Arial"/>
            <w:sz w:val="20"/>
            <w:szCs w:val="20"/>
            <w:u w:val="single" w:color="auto"/>
            <w:color w:val="0000FF"/>
          </w:rPr>
          <w:t>Amended and Restated Employment Agreement, dated as of January 1, 2019, by and between Scientific Games Corporation</w:t>
        </w:r>
      </w:hyperlink>
      <w:r>
        <w:rPr>
          <w:rFonts w:ascii="Arial" w:cs="Arial" w:eastAsia="Arial" w:hAnsi="Arial"/>
          <w:sz w:val="20"/>
          <w:szCs w:val="20"/>
          <w:u w:val="single" w:color="auto"/>
          <w:color w:val="0000FF"/>
        </w:rPr>
        <w:t xml:space="preserve"> </w:t>
      </w:r>
      <w:hyperlink r:id="rId415">
        <w:r>
          <w:rPr>
            <w:rFonts w:ascii="Arial" w:cs="Arial" w:eastAsia="Arial" w:hAnsi="Arial"/>
            <w:sz w:val="20"/>
            <w:szCs w:val="20"/>
            <w:u w:val="single" w:color="auto"/>
            <w:color w:val="0000FF"/>
          </w:rPr>
          <w:t>and Patrick J. McHugh (incorporated by reference to Exhibit 10.55 to Scientific Games Corporation’s Annual Report on</w:t>
        </w:r>
      </w:hyperlink>
      <w:r>
        <w:rPr>
          <w:rFonts w:ascii="Arial" w:cs="Arial" w:eastAsia="Arial" w:hAnsi="Arial"/>
          <w:sz w:val="20"/>
          <w:szCs w:val="20"/>
          <w:u w:val="single" w:color="auto"/>
          <w:color w:val="0000FF"/>
        </w:rPr>
        <w:t xml:space="preserve"> </w:t>
      </w:r>
      <w:hyperlink r:id="rId415">
        <w:r>
          <w:rPr>
            <w:rFonts w:ascii="Arial" w:cs="Arial" w:eastAsia="Arial" w:hAnsi="Arial"/>
            <w:sz w:val="20"/>
            <w:szCs w:val="20"/>
            <w:u w:val="single" w:color="auto"/>
            <w:color w:val="0000FF"/>
          </w:rPr>
          <w:t>Form 10-K for the year ended December 31, 2018).*</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416">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32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10.47</w:t>
      </w:r>
      <w:r>
        <w:rPr>
          <w:sz w:val="20"/>
          <w:szCs w:val="20"/>
          <w:color w:val="auto"/>
        </w:rPr>
        <w:tab/>
      </w:r>
      <w:hyperlink r:id="rId417">
        <w:r>
          <w:rPr>
            <w:rFonts w:ascii="Arial" w:cs="Arial" w:eastAsia="Arial" w:hAnsi="Arial"/>
            <w:sz w:val="20"/>
            <w:szCs w:val="20"/>
            <w:u w:val="single" w:color="auto"/>
            <w:color w:val="0000FF"/>
          </w:rPr>
          <w:t>Amendment to Employment Agreement, dated as of February 26, 2020 (effective as of January 1, 2020), by and between</w:t>
        </w:r>
      </w:hyperlink>
      <w:r>
        <w:rPr>
          <w:rFonts w:ascii="Arial" w:cs="Arial" w:eastAsia="Arial" w:hAnsi="Arial"/>
          <w:sz w:val="20"/>
          <w:szCs w:val="20"/>
          <w:u w:val="single" w:color="auto"/>
          <w:color w:val="0000FF"/>
        </w:rPr>
        <w:t xml:space="preserve"> </w:t>
      </w:r>
      <w:hyperlink r:id="rId417">
        <w:r>
          <w:rPr>
            <w:rFonts w:ascii="Arial" w:cs="Arial" w:eastAsia="Arial" w:hAnsi="Arial"/>
            <w:sz w:val="20"/>
            <w:szCs w:val="20"/>
            <w:u w:val="single" w:color="auto"/>
            <w:color w:val="0000FF"/>
          </w:rPr>
          <w:t>Scientific Games Corporation and Patrick J. McHugh (incorporated by reference to Exhibit 10.6 to Scientific Games</w:t>
        </w:r>
      </w:hyperlink>
      <w:r>
        <w:rPr>
          <w:rFonts w:ascii="Arial" w:cs="Arial" w:eastAsia="Arial" w:hAnsi="Arial"/>
          <w:sz w:val="20"/>
          <w:szCs w:val="20"/>
          <w:u w:val="single" w:color="auto"/>
          <w:color w:val="0000FF"/>
        </w:rPr>
        <w:t xml:space="preserve"> </w:t>
      </w:r>
      <w:hyperlink r:id="rId417">
        <w:r>
          <w:rPr>
            <w:rFonts w:ascii="Arial" w:cs="Arial" w:eastAsia="Arial" w:hAnsi="Arial"/>
            <w:sz w:val="20"/>
            <w:szCs w:val="20"/>
            <w:u w:val="single" w:color="auto"/>
            <w:color w:val="0000FF"/>
          </w:rPr>
          <w:t>Corporation’s Quarterly Report on Form 10-Q for the quarter ended March 31,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418">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jc w:val="both"/>
        <w:ind w:left="920" w:right="680" w:hanging="928"/>
        <w:spacing w:after="0" w:line="230" w:lineRule="auto"/>
        <w:tabs>
          <w:tab w:leader="none" w:pos="900" w:val="left"/>
        </w:tabs>
        <w:rPr>
          <w:rFonts w:ascii="Arial" w:cs="Arial" w:eastAsia="Arial" w:hAnsi="Arial"/>
          <w:sz w:val="19"/>
          <w:szCs w:val="19"/>
          <w:u w:val="single" w:color="auto"/>
          <w:color w:val="0000FF"/>
        </w:rPr>
      </w:pPr>
      <w:r>
        <w:rPr>
          <w:rFonts w:ascii="Arial" w:cs="Arial" w:eastAsia="Arial" w:hAnsi="Arial"/>
          <w:sz w:val="20"/>
          <w:szCs w:val="20"/>
          <w:color w:val="auto"/>
        </w:rPr>
        <w:t>10.48</w:t>
      </w:r>
      <w:r>
        <w:rPr>
          <w:sz w:val="20"/>
          <w:szCs w:val="20"/>
          <w:color w:val="auto"/>
        </w:rPr>
        <w:tab/>
      </w:r>
      <w:hyperlink r:id="rId419">
        <w:r>
          <w:rPr>
            <w:rFonts w:ascii="Arial" w:cs="Arial" w:eastAsia="Arial" w:hAnsi="Arial"/>
            <w:sz w:val="19"/>
            <w:szCs w:val="19"/>
            <w:u w:val="single" w:color="auto"/>
            <w:color w:val="0000FF"/>
          </w:rPr>
          <w:t>Amendment to Employment Agreement, dated as of March 24, 2020(effective as of April 5, 2020), by and between</w:t>
        </w:r>
      </w:hyperlink>
      <w:r>
        <w:rPr>
          <w:rFonts w:ascii="Arial" w:cs="Arial" w:eastAsia="Arial" w:hAnsi="Arial"/>
          <w:sz w:val="19"/>
          <w:szCs w:val="19"/>
          <w:u w:val="single" w:color="auto"/>
          <w:color w:val="0000FF"/>
        </w:rPr>
        <w:t xml:space="preserve"> </w:t>
      </w:r>
      <w:hyperlink r:id="rId419">
        <w:r>
          <w:rPr>
            <w:rFonts w:ascii="Arial" w:cs="Arial" w:eastAsia="Arial" w:hAnsi="Arial"/>
            <w:sz w:val="19"/>
            <w:szCs w:val="19"/>
            <w:u w:val="single" w:color="auto"/>
            <w:color w:val="0000FF"/>
          </w:rPr>
          <w:t>Scientific Games Corporation and Patrick J. McHugh (incorporated by reference to Exhibit 10.7 to Scientific Games</w:t>
        </w:r>
      </w:hyperlink>
      <w:r>
        <w:rPr>
          <w:rFonts w:ascii="Arial" w:cs="Arial" w:eastAsia="Arial" w:hAnsi="Arial"/>
          <w:sz w:val="19"/>
          <w:szCs w:val="19"/>
          <w:u w:val="single" w:color="auto"/>
          <w:color w:val="0000FF"/>
        </w:rPr>
        <w:t xml:space="preserve"> </w:t>
      </w:r>
      <w:hyperlink r:id="rId419">
        <w:r>
          <w:rPr>
            <w:rFonts w:ascii="Arial" w:cs="Arial" w:eastAsia="Arial" w:hAnsi="Arial"/>
            <w:sz w:val="19"/>
            <w:szCs w:val="19"/>
            <w:u w:val="single" w:color="auto"/>
            <w:color w:val="0000FF"/>
          </w:rPr>
          <w:t>Corporation’s Quarterly Report on Form 10-Q for the quarter ended March 31, 2020).*</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-396240</wp:posOffset>
            </wp:positionV>
            <wp:extent cx="7132320" cy="3943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42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5" w:lineRule="exact"/>
        <w:rPr>
          <w:rFonts w:ascii="Arial" w:cs="Arial" w:eastAsia="Arial" w:hAnsi="Arial"/>
          <w:sz w:val="19"/>
          <w:szCs w:val="19"/>
          <w:u w:val="single" w:color="auto"/>
          <w:color w:val="0000FF"/>
        </w:rPr>
      </w:pPr>
    </w:p>
    <w:p>
      <w:pPr>
        <w:ind w:left="920" w:right="16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10.49</w:t>
      </w:r>
      <w:r>
        <w:rPr>
          <w:sz w:val="20"/>
          <w:szCs w:val="20"/>
          <w:color w:val="auto"/>
        </w:rPr>
        <w:tab/>
      </w:r>
      <w:hyperlink r:id="rId421">
        <w:r>
          <w:rPr>
            <w:rFonts w:ascii="Arial" w:cs="Arial" w:eastAsia="Arial" w:hAnsi="Arial"/>
            <w:sz w:val="20"/>
            <w:szCs w:val="20"/>
            <w:u w:val="single" w:color="auto"/>
            <w:color w:val="0000FF"/>
          </w:rPr>
          <w:t>Amendment to Employment Agreement, dated as of June 30, 2020 (effective as of July 1, 2020), by and between Scientific</w:t>
        </w:r>
      </w:hyperlink>
      <w:r>
        <w:rPr>
          <w:rFonts w:ascii="Arial" w:cs="Arial" w:eastAsia="Arial" w:hAnsi="Arial"/>
          <w:sz w:val="20"/>
          <w:szCs w:val="20"/>
          <w:u w:val="single" w:color="auto"/>
          <w:color w:val="0000FF"/>
        </w:rPr>
        <w:t xml:space="preserve"> </w:t>
      </w:r>
      <w:hyperlink r:id="rId421">
        <w:r>
          <w:rPr>
            <w:rFonts w:ascii="Arial" w:cs="Arial" w:eastAsia="Arial" w:hAnsi="Arial"/>
            <w:sz w:val="20"/>
            <w:szCs w:val="20"/>
            <w:u w:val="single" w:color="auto"/>
            <w:color w:val="0000FF"/>
          </w:rPr>
          <w:t>Games Corporation and Patrick J. McHugh (incorporated by reference to Exhibit 10.11 to Scientific Games Corporation’s</w:t>
        </w:r>
      </w:hyperlink>
      <w:r>
        <w:rPr>
          <w:rFonts w:ascii="Arial" w:cs="Arial" w:eastAsia="Arial" w:hAnsi="Arial"/>
          <w:sz w:val="20"/>
          <w:szCs w:val="20"/>
          <w:u w:val="single" w:color="auto"/>
          <w:color w:val="0000FF"/>
        </w:rPr>
        <w:t xml:space="preserve"> </w:t>
      </w:r>
      <w:hyperlink r:id="rId421">
        <w:r>
          <w:rPr>
            <w:rFonts w:ascii="Arial" w:cs="Arial" w:eastAsia="Arial" w:hAnsi="Arial"/>
            <w:sz w:val="20"/>
            <w:szCs w:val="20"/>
            <w:u w:val="single" w:color="auto"/>
            <w:color w:val="0000FF"/>
          </w:rPr>
          <w:t>Quarterly Report on Form 10-Q for the quarter ended June 30,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2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68" w:lineRule="exact"/>
        <w:rPr>
          <w:rFonts w:ascii="Arial" w:cs="Arial" w:eastAsia="Arial" w:hAnsi="Arial"/>
          <w:sz w:val="20"/>
          <w:szCs w:val="20"/>
          <w:u w:val="single" w:color="auto"/>
          <w:color w:val="0000FF"/>
        </w:rPr>
      </w:pPr>
    </w:p>
    <w:p>
      <w:pPr>
        <w:jc w:val="center"/>
        <w:ind w:right="360"/>
        <w:spacing w:after="0"/>
        <w:rPr>
          <w:sz w:val="20"/>
          <w:szCs w:val="20"/>
          <w:color w:val="auto"/>
        </w:rPr>
      </w:pPr>
      <w:r>
        <w:rPr>
          <w:rFonts w:ascii="Arial" w:cs="Arial" w:eastAsia="Arial" w:hAnsi="Arial"/>
          <w:sz w:val="18"/>
          <w:szCs w:val="18"/>
          <w:color w:val="auto"/>
        </w:rPr>
        <w:t>145</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933" w:right="359" w:bottom="1440" w:gutter="0" w:footer="0" w:header="0"/>
        </w:sectPr>
      </w:pPr>
    </w:p>
    <w:bookmarkStart w:id="145" w:name="page146"/>
    <w:bookmarkEnd w:id="145"/>
    <w:p>
      <w:pPr>
        <w:ind w:left="920" w:right="4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10.50</w:t>
      </w:r>
      <w:r>
        <w:rPr>
          <w:sz w:val="20"/>
          <w:szCs w:val="20"/>
          <w:color w:val="auto"/>
        </w:rPr>
        <w:tab/>
      </w:r>
      <w:hyperlink r:id="rId424">
        <w:r>
          <w:rPr>
            <w:rFonts w:ascii="Arial" w:cs="Arial" w:eastAsia="Arial" w:hAnsi="Arial"/>
            <w:sz w:val="20"/>
            <w:szCs w:val="20"/>
            <w:u w:val="single" w:color="auto"/>
            <w:color w:val="0000FF"/>
          </w:rPr>
          <w:t>Amendment to Employment Agreement, dated as of September 15, 2021, by and between Scientific Games Corporation and</w:t>
        </w:r>
      </w:hyperlink>
      <w:r>
        <w:rPr>
          <w:rFonts w:ascii="Arial" w:cs="Arial" w:eastAsia="Arial" w:hAnsi="Arial"/>
          <w:sz w:val="20"/>
          <w:szCs w:val="20"/>
          <w:u w:val="single" w:color="auto"/>
          <w:color w:val="0000FF"/>
        </w:rPr>
        <w:t xml:space="preserve"> </w:t>
      </w:r>
      <w:hyperlink r:id="rId424">
        <w:r>
          <w:rPr>
            <w:rFonts w:ascii="Arial" w:cs="Arial" w:eastAsia="Arial" w:hAnsi="Arial"/>
            <w:sz w:val="20"/>
            <w:szCs w:val="20"/>
            <w:u w:val="single" w:color="auto"/>
            <w:color w:val="0000FF"/>
          </w:rPr>
          <w:t>Patrick J. McHugh (incorporated by reference to Exhibit 10.2 to Scientific Games Corporation’s Quarterly Report on Form</w:t>
        </w:r>
      </w:hyperlink>
      <w:r>
        <w:rPr>
          <w:rFonts w:ascii="Arial" w:cs="Arial" w:eastAsia="Arial" w:hAnsi="Arial"/>
          <w:sz w:val="20"/>
          <w:szCs w:val="20"/>
          <w:u w:val="single" w:color="auto"/>
          <w:color w:val="0000FF"/>
        </w:rPr>
        <w:t xml:space="preserve"> </w:t>
      </w:r>
      <w:hyperlink r:id="rId424">
        <w:r>
          <w:rPr>
            <w:rFonts w:ascii="Arial" w:cs="Arial" w:eastAsia="Arial" w:hAnsi="Arial"/>
            <w:sz w:val="20"/>
            <w:szCs w:val="20"/>
            <w:u w:val="single" w:color="auto"/>
            <w:color w:val="0000FF"/>
          </w:rPr>
          <w:t>10-Q for the quarter ended September 30, 2021).*</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25">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32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10.51</w:t>
      </w:r>
      <w:r>
        <w:rPr>
          <w:sz w:val="20"/>
          <w:szCs w:val="20"/>
          <w:color w:val="auto"/>
        </w:rPr>
        <w:tab/>
      </w:r>
      <w:hyperlink r:id="rId426">
        <w:r>
          <w:rPr>
            <w:rFonts w:ascii="Arial" w:cs="Arial" w:eastAsia="Arial" w:hAnsi="Arial"/>
            <w:sz w:val="20"/>
            <w:szCs w:val="20"/>
            <w:u w:val="single" w:color="auto"/>
            <w:color w:val="0000FF"/>
          </w:rPr>
          <w:t>Employment Agreement, dated as of July 6, 2019 (effective as of March 1, 2020), by and between Scientific Games</w:t>
        </w:r>
      </w:hyperlink>
      <w:r>
        <w:rPr>
          <w:rFonts w:ascii="Arial" w:cs="Arial" w:eastAsia="Arial" w:hAnsi="Arial"/>
          <w:sz w:val="20"/>
          <w:szCs w:val="20"/>
          <w:u w:val="single" w:color="auto"/>
          <w:color w:val="0000FF"/>
        </w:rPr>
        <w:t xml:space="preserve"> </w:t>
      </w:r>
      <w:hyperlink r:id="rId426">
        <w:r>
          <w:rPr>
            <w:rFonts w:ascii="Arial" w:cs="Arial" w:eastAsia="Arial" w:hAnsi="Arial"/>
            <w:sz w:val="20"/>
            <w:szCs w:val="20"/>
            <w:u w:val="single" w:color="auto"/>
            <w:color w:val="0000FF"/>
          </w:rPr>
          <w:t>Corporation and Matthew Wilson (incorporated by reference to Exhibit 10.4 to Scientific Games Corporation’s Quarterly</w:t>
        </w:r>
      </w:hyperlink>
      <w:r>
        <w:rPr>
          <w:rFonts w:ascii="Arial" w:cs="Arial" w:eastAsia="Arial" w:hAnsi="Arial"/>
          <w:sz w:val="20"/>
          <w:szCs w:val="20"/>
          <w:u w:val="single" w:color="auto"/>
          <w:color w:val="0000FF"/>
        </w:rPr>
        <w:t xml:space="preserve"> </w:t>
      </w:r>
      <w:hyperlink r:id="rId426">
        <w:r>
          <w:rPr>
            <w:rFonts w:ascii="Arial" w:cs="Arial" w:eastAsia="Arial" w:hAnsi="Arial"/>
            <w:sz w:val="20"/>
            <w:szCs w:val="20"/>
            <w:u w:val="single" w:color="auto"/>
            <w:color w:val="0000FF"/>
          </w:rPr>
          <w:t>Report on Form 10-Q for the quarter ended March 31,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27">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720" w:hanging="928"/>
        <w:spacing w:after="0" w:line="230" w:lineRule="auto"/>
        <w:tabs>
          <w:tab w:leader="none" w:pos="900" w:val="left"/>
        </w:tabs>
        <w:rPr>
          <w:rFonts w:ascii="Arial" w:cs="Arial" w:eastAsia="Arial" w:hAnsi="Arial"/>
          <w:sz w:val="19"/>
          <w:szCs w:val="19"/>
          <w:u w:val="single" w:color="auto"/>
          <w:color w:val="0000FF"/>
        </w:rPr>
      </w:pPr>
      <w:r>
        <w:rPr>
          <w:rFonts w:ascii="Arial" w:cs="Arial" w:eastAsia="Arial" w:hAnsi="Arial"/>
          <w:sz w:val="20"/>
          <w:szCs w:val="20"/>
          <w:color w:val="auto"/>
        </w:rPr>
        <w:t>10.52</w:t>
      </w:r>
      <w:r>
        <w:rPr>
          <w:sz w:val="20"/>
          <w:szCs w:val="20"/>
          <w:color w:val="auto"/>
        </w:rPr>
        <w:tab/>
      </w:r>
      <w:hyperlink r:id="rId428">
        <w:r>
          <w:rPr>
            <w:rFonts w:ascii="Arial" w:cs="Arial" w:eastAsia="Arial" w:hAnsi="Arial"/>
            <w:sz w:val="19"/>
            <w:szCs w:val="19"/>
            <w:u w:val="single" w:color="auto"/>
            <w:color w:val="0000FF"/>
          </w:rPr>
          <w:t>Amendment to Employment Agreement, dated as of March 24, 2020 (effective as of April 5, 2020), by and between</w:t>
        </w:r>
      </w:hyperlink>
      <w:r>
        <w:rPr>
          <w:rFonts w:ascii="Arial" w:cs="Arial" w:eastAsia="Arial" w:hAnsi="Arial"/>
          <w:sz w:val="19"/>
          <w:szCs w:val="19"/>
          <w:u w:val="single" w:color="auto"/>
          <w:color w:val="0000FF"/>
        </w:rPr>
        <w:t xml:space="preserve"> </w:t>
      </w:r>
      <w:hyperlink r:id="rId428">
        <w:r>
          <w:rPr>
            <w:rFonts w:ascii="Arial" w:cs="Arial" w:eastAsia="Arial" w:hAnsi="Arial"/>
            <w:sz w:val="19"/>
            <w:szCs w:val="19"/>
            <w:u w:val="single" w:color="auto"/>
            <w:color w:val="0000FF"/>
          </w:rPr>
          <w:t>Scientific Games Corporation and Matthew Wilson (incorporated by reference to Exhibit 10.5 to Scientific Games</w:t>
        </w:r>
      </w:hyperlink>
      <w:r>
        <w:rPr>
          <w:rFonts w:ascii="Arial" w:cs="Arial" w:eastAsia="Arial" w:hAnsi="Arial"/>
          <w:sz w:val="19"/>
          <w:szCs w:val="19"/>
          <w:u w:val="single" w:color="auto"/>
          <w:color w:val="0000FF"/>
        </w:rPr>
        <w:t xml:space="preserve"> </w:t>
      </w:r>
      <w:hyperlink r:id="rId428">
        <w:r>
          <w:rPr>
            <w:rFonts w:ascii="Arial" w:cs="Arial" w:eastAsia="Arial" w:hAnsi="Arial"/>
            <w:sz w:val="19"/>
            <w:szCs w:val="19"/>
            <w:u w:val="single" w:color="auto"/>
            <w:color w:val="0000FF"/>
          </w:rPr>
          <w:t>Corporation’s Quarterly Report on Form 10-Q for the quarter ended March 31, 2020).*</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-396240</wp:posOffset>
            </wp:positionV>
            <wp:extent cx="7132320" cy="3943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29">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5" w:lineRule="exact"/>
        <w:rPr>
          <w:rFonts w:ascii="Arial" w:cs="Arial" w:eastAsia="Arial" w:hAnsi="Arial"/>
          <w:sz w:val="19"/>
          <w:szCs w:val="19"/>
          <w:u w:val="single" w:color="auto"/>
          <w:color w:val="0000FF"/>
        </w:rPr>
      </w:pPr>
    </w:p>
    <w:p>
      <w:pPr>
        <w:ind w:left="920" w:right="16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10.53</w:t>
      </w:r>
      <w:r>
        <w:rPr>
          <w:sz w:val="20"/>
          <w:szCs w:val="20"/>
          <w:color w:val="auto"/>
        </w:rPr>
        <w:tab/>
      </w:r>
      <w:hyperlink r:id="rId430">
        <w:r>
          <w:rPr>
            <w:rFonts w:ascii="Arial" w:cs="Arial" w:eastAsia="Arial" w:hAnsi="Arial"/>
            <w:sz w:val="20"/>
            <w:szCs w:val="20"/>
            <w:u w:val="single" w:color="auto"/>
            <w:color w:val="0000FF"/>
          </w:rPr>
          <w:t>Amendment to Employment Agreement, dated as of June 30, 2020 (effective as of July 1, 2020), by and between Scientific</w:t>
        </w:r>
      </w:hyperlink>
      <w:r>
        <w:rPr>
          <w:rFonts w:ascii="Arial" w:cs="Arial" w:eastAsia="Arial" w:hAnsi="Arial"/>
          <w:sz w:val="20"/>
          <w:szCs w:val="20"/>
          <w:u w:val="single" w:color="auto"/>
          <w:color w:val="0000FF"/>
        </w:rPr>
        <w:t xml:space="preserve"> </w:t>
      </w:r>
      <w:hyperlink r:id="rId430">
        <w:r>
          <w:rPr>
            <w:rFonts w:ascii="Arial" w:cs="Arial" w:eastAsia="Arial" w:hAnsi="Arial"/>
            <w:sz w:val="20"/>
            <w:szCs w:val="20"/>
            <w:u w:val="single" w:color="auto"/>
            <w:color w:val="0000FF"/>
          </w:rPr>
          <w:t>Games Corporation and Matthew Wilson (incorporated by reference to Exhibit 10.9 to Scientific Games Corporation’s</w:t>
        </w:r>
      </w:hyperlink>
      <w:r>
        <w:rPr>
          <w:rFonts w:ascii="Arial" w:cs="Arial" w:eastAsia="Arial" w:hAnsi="Arial"/>
          <w:sz w:val="20"/>
          <w:szCs w:val="20"/>
          <w:u w:val="single" w:color="auto"/>
          <w:color w:val="0000FF"/>
        </w:rPr>
        <w:t xml:space="preserve"> </w:t>
      </w:r>
      <w:hyperlink r:id="rId430">
        <w:r>
          <w:rPr>
            <w:rFonts w:ascii="Arial" w:cs="Arial" w:eastAsia="Arial" w:hAnsi="Arial"/>
            <w:sz w:val="20"/>
            <w:szCs w:val="20"/>
            <w:u w:val="single" w:color="auto"/>
            <w:color w:val="0000FF"/>
          </w:rPr>
          <w:t>Quarterly Report on Form 10-Q for the quarter ended June 30,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31">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4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10.54</w:t>
      </w:r>
      <w:r>
        <w:rPr>
          <w:sz w:val="20"/>
          <w:szCs w:val="20"/>
          <w:color w:val="auto"/>
        </w:rPr>
        <w:tab/>
      </w:r>
      <w:hyperlink r:id="rId432">
        <w:r>
          <w:rPr>
            <w:rFonts w:ascii="Arial" w:cs="Arial" w:eastAsia="Arial" w:hAnsi="Arial"/>
            <w:sz w:val="20"/>
            <w:szCs w:val="20"/>
            <w:u w:val="single" w:color="auto"/>
            <w:color w:val="0000FF"/>
          </w:rPr>
          <w:t>Amendment to Employment Agreement, dated as of July 24, 2020, by and between Scientific Games Corporation and</w:t>
        </w:r>
      </w:hyperlink>
      <w:r>
        <w:rPr>
          <w:rFonts w:ascii="Arial" w:cs="Arial" w:eastAsia="Arial" w:hAnsi="Arial"/>
          <w:sz w:val="20"/>
          <w:szCs w:val="20"/>
          <w:u w:val="single" w:color="auto"/>
          <w:color w:val="0000FF"/>
        </w:rPr>
        <w:t xml:space="preserve"> </w:t>
      </w:r>
      <w:hyperlink r:id="rId432">
        <w:r>
          <w:rPr>
            <w:rFonts w:ascii="Arial" w:cs="Arial" w:eastAsia="Arial" w:hAnsi="Arial"/>
            <w:sz w:val="20"/>
            <w:szCs w:val="20"/>
            <w:u w:val="single" w:color="auto"/>
            <w:color w:val="0000FF"/>
          </w:rPr>
          <w:t>Matthew Wilson (incorporated by reference to Exhibit 10.6 to Scientific Games Corporation’s Quarterly Report on Form 10-</w:t>
        </w:r>
      </w:hyperlink>
      <w:hyperlink r:id="rId432">
        <w:r>
          <w:rPr>
            <w:rFonts w:ascii="Arial" w:cs="Arial" w:eastAsia="Arial" w:hAnsi="Arial"/>
            <w:sz w:val="20"/>
            <w:szCs w:val="20"/>
            <w:u w:val="single" w:color="auto"/>
            <w:color w:val="0000FF"/>
          </w:rPr>
          <w:t>Q for the quarter ended September 30,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33">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38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10.55</w:t>
      </w:r>
      <w:r>
        <w:rPr>
          <w:sz w:val="20"/>
          <w:szCs w:val="20"/>
          <w:color w:val="auto"/>
        </w:rPr>
        <w:tab/>
      </w:r>
      <w:hyperlink r:id="rId434">
        <w:r>
          <w:rPr>
            <w:rFonts w:ascii="Arial" w:cs="Arial" w:eastAsia="Arial" w:hAnsi="Arial"/>
            <w:sz w:val="20"/>
            <w:szCs w:val="20"/>
            <w:u w:val="single" w:color="auto"/>
            <w:color w:val="0000FF"/>
          </w:rPr>
          <w:t>Employment Agreement, dated as of April 23, 2020, by and between Scientific Games Corporation and Michael Eklund</w:t>
        </w:r>
      </w:hyperlink>
      <w:r>
        <w:rPr>
          <w:rFonts w:ascii="Arial" w:cs="Arial" w:eastAsia="Arial" w:hAnsi="Arial"/>
          <w:sz w:val="20"/>
          <w:szCs w:val="20"/>
          <w:u w:val="single" w:color="auto"/>
          <w:color w:val="0000FF"/>
        </w:rPr>
        <w:t xml:space="preserve"> </w:t>
      </w:r>
      <w:hyperlink r:id="rId434">
        <w:r>
          <w:rPr>
            <w:rFonts w:ascii="Arial" w:cs="Arial" w:eastAsia="Arial" w:hAnsi="Arial"/>
            <w:sz w:val="20"/>
            <w:szCs w:val="20"/>
            <w:u w:val="single" w:color="auto"/>
            <w:color w:val="0000FF"/>
          </w:rPr>
          <w:t>(incorporated by reference to Exhibit 10.19 to Scientific Games Corporation’s Quarterly Report on Form 10-Q for the</w:t>
        </w:r>
      </w:hyperlink>
      <w:r>
        <w:rPr>
          <w:rFonts w:ascii="Arial" w:cs="Arial" w:eastAsia="Arial" w:hAnsi="Arial"/>
          <w:sz w:val="20"/>
          <w:szCs w:val="20"/>
          <w:u w:val="single" w:color="auto"/>
          <w:color w:val="0000FF"/>
        </w:rPr>
        <w:t xml:space="preserve"> </w:t>
      </w:r>
      <w:hyperlink r:id="rId434">
        <w:r>
          <w:rPr>
            <w:rFonts w:ascii="Arial" w:cs="Arial" w:eastAsia="Arial" w:hAnsi="Arial"/>
            <w:sz w:val="20"/>
            <w:szCs w:val="20"/>
            <w:u w:val="single" w:color="auto"/>
            <w:color w:val="0000FF"/>
          </w:rPr>
          <w:t>quarter ended June 30,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35">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ind w:left="920" w:right="44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10.56</w:t>
      </w:r>
      <w:r>
        <w:rPr>
          <w:sz w:val="20"/>
          <w:szCs w:val="20"/>
          <w:color w:val="auto"/>
        </w:rPr>
        <w:tab/>
      </w:r>
      <w:hyperlink r:id="rId436">
        <w:r>
          <w:rPr>
            <w:rFonts w:ascii="Arial" w:cs="Arial" w:eastAsia="Arial" w:hAnsi="Arial"/>
            <w:sz w:val="20"/>
            <w:szCs w:val="20"/>
            <w:u w:val="single" w:color="auto"/>
            <w:color w:val="0000FF"/>
          </w:rPr>
          <w:t>First Amendment to Employment Agreement, dated as of November 30, 2020, by and between Scientific Games</w:t>
        </w:r>
      </w:hyperlink>
      <w:r>
        <w:rPr>
          <w:rFonts w:ascii="Arial" w:cs="Arial" w:eastAsia="Arial" w:hAnsi="Arial"/>
          <w:sz w:val="20"/>
          <w:szCs w:val="20"/>
          <w:u w:val="single" w:color="auto"/>
          <w:color w:val="0000FF"/>
        </w:rPr>
        <w:t xml:space="preserve"> </w:t>
      </w:r>
      <w:hyperlink r:id="rId436">
        <w:r>
          <w:rPr>
            <w:rFonts w:ascii="Arial" w:cs="Arial" w:eastAsia="Arial" w:hAnsi="Arial"/>
            <w:sz w:val="20"/>
            <w:szCs w:val="20"/>
            <w:u w:val="single" w:color="auto"/>
            <w:color w:val="0000FF"/>
          </w:rPr>
          <w:t>Corporation and Michael Eklund (incorporated by reference to Exhibit 10.68 to Scientific Games Corporation’s Annual</w:t>
        </w:r>
      </w:hyperlink>
      <w:r>
        <w:rPr>
          <w:rFonts w:ascii="Arial" w:cs="Arial" w:eastAsia="Arial" w:hAnsi="Arial"/>
          <w:sz w:val="20"/>
          <w:szCs w:val="20"/>
          <w:u w:val="single" w:color="auto"/>
          <w:color w:val="0000FF"/>
        </w:rPr>
        <w:t xml:space="preserve"> </w:t>
      </w:r>
      <w:hyperlink r:id="rId436">
        <w:r>
          <w:rPr>
            <w:rFonts w:ascii="Arial" w:cs="Arial" w:eastAsia="Arial" w:hAnsi="Arial"/>
            <w:sz w:val="20"/>
            <w:szCs w:val="20"/>
            <w:u w:val="single" w:color="auto"/>
            <w:color w:val="0000FF"/>
          </w:rPr>
          <w:t>Report on Form 10-K for the year ended December 31,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37">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jc w:val="both"/>
        <w:ind w:left="920" w:right="180" w:hanging="928"/>
        <w:spacing w:after="0" w:line="229"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10.57</w:t>
      </w:r>
      <w:r>
        <w:rPr>
          <w:sz w:val="20"/>
          <w:szCs w:val="20"/>
          <w:color w:val="auto"/>
        </w:rPr>
        <w:tab/>
      </w:r>
      <w:hyperlink w:anchor="page194">
        <w:r>
          <w:rPr>
            <w:rFonts w:ascii="Arial" w:cs="Arial" w:eastAsia="Arial" w:hAnsi="Arial"/>
            <w:sz w:val="20"/>
            <w:szCs w:val="20"/>
            <w:u w:val="single" w:color="auto"/>
            <w:color w:val="0000FF"/>
          </w:rPr>
          <w:t>Agreement and General Release, dated as of October 22, 2021, by and between Scientific Games Corporation and Michael</w:t>
        </w:r>
      </w:hyperlink>
      <w:r>
        <w:rPr>
          <w:rFonts w:ascii="Arial" w:cs="Arial" w:eastAsia="Arial" w:hAnsi="Arial"/>
          <w:sz w:val="20"/>
          <w:szCs w:val="20"/>
          <w:u w:val="single" w:color="auto"/>
          <w:color w:val="0000FF"/>
        </w:rPr>
        <w:t xml:space="preserve"> </w:t>
      </w:r>
      <w:hyperlink w:anchor="page194">
        <w:r>
          <w:rPr>
            <w:rFonts w:ascii="Arial" w:cs="Arial" w:eastAsia="Arial" w:hAnsi="Arial"/>
            <w:sz w:val="20"/>
            <w:szCs w:val="20"/>
            <w:u w:val="single" w:color="auto"/>
            <w:color w:val="0000FF"/>
          </w:rPr>
          <w:t>C. Eklund.*(†)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-276225</wp:posOffset>
            </wp:positionV>
            <wp:extent cx="7132320" cy="2743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6" w:lineRule="exact"/>
        <w:rPr>
          <w:sz w:val="20"/>
          <w:szCs w:val="20"/>
          <w:color w:val="auto"/>
        </w:rPr>
      </w:pPr>
    </w:p>
    <w:p>
      <w:pPr>
        <w:jc w:val="both"/>
        <w:ind w:left="920" w:right="20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10.58</w:t>
      </w:r>
      <w:r>
        <w:rPr>
          <w:sz w:val="20"/>
          <w:szCs w:val="20"/>
          <w:color w:val="auto"/>
        </w:rPr>
        <w:tab/>
      </w:r>
      <w:hyperlink r:id="rId439">
        <w:r>
          <w:rPr>
            <w:rFonts w:ascii="Arial" w:cs="Arial" w:eastAsia="Arial" w:hAnsi="Arial"/>
            <w:sz w:val="20"/>
            <w:szCs w:val="20"/>
            <w:u w:val="single" w:color="auto"/>
            <w:color w:val="0000FF"/>
          </w:rPr>
          <w:t>Amended and Restated Consulting Agreement, dated as of October 1, 2020, by and between Scientific Games Corporation</w:t>
        </w:r>
      </w:hyperlink>
      <w:r>
        <w:rPr>
          <w:rFonts w:ascii="Arial" w:cs="Arial" w:eastAsia="Arial" w:hAnsi="Arial"/>
          <w:sz w:val="20"/>
          <w:szCs w:val="20"/>
          <w:u w:val="single" w:color="auto"/>
          <w:color w:val="0000FF"/>
        </w:rPr>
        <w:t xml:space="preserve"> </w:t>
      </w:r>
      <w:hyperlink r:id="rId439">
        <w:r>
          <w:rPr>
            <w:rFonts w:ascii="Arial" w:cs="Arial" w:eastAsia="Arial" w:hAnsi="Arial"/>
            <w:sz w:val="20"/>
            <w:szCs w:val="20"/>
            <w:u w:val="single" w:color="auto"/>
            <w:color w:val="0000FF"/>
          </w:rPr>
          <w:t>and Jamie Odell (incorporated by reference to Exhibit 10.15 to Scientific Games Corporation’s Quarterly Report on Form</w:t>
        </w:r>
      </w:hyperlink>
      <w:r>
        <w:rPr>
          <w:rFonts w:ascii="Arial" w:cs="Arial" w:eastAsia="Arial" w:hAnsi="Arial"/>
          <w:sz w:val="20"/>
          <w:szCs w:val="20"/>
          <w:u w:val="single" w:color="auto"/>
          <w:color w:val="0000FF"/>
        </w:rPr>
        <w:t xml:space="preserve"> </w:t>
      </w:r>
      <w:hyperlink r:id="rId439">
        <w:r>
          <w:rPr>
            <w:rFonts w:ascii="Arial" w:cs="Arial" w:eastAsia="Arial" w:hAnsi="Arial"/>
            <w:sz w:val="20"/>
            <w:szCs w:val="20"/>
            <w:u w:val="single" w:color="auto"/>
            <w:color w:val="0000FF"/>
          </w:rPr>
          <w:t>10-Q for the quarter ended September 30,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4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177" w:lineRule="exact"/>
        <w:rPr>
          <w:rFonts w:ascii="Arial" w:cs="Arial" w:eastAsia="Arial" w:hAnsi="Arial"/>
          <w:sz w:val="20"/>
          <w:szCs w:val="20"/>
          <w:u w:val="single" w:color="auto"/>
          <w:color w:val="0000FF"/>
        </w:rPr>
      </w:pPr>
    </w:p>
    <w:p>
      <w:pPr>
        <w:jc w:val="both"/>
        <w:ind w:left="920" w:right="200" w:hanging="928"/>
        <w:spacing w:after="0" w:line="218" w:lineRule="auto"/>
        <w:tabs>
          <w:tab w:leader="none" w:pos="900" w:val="left"/>
        </w:tabs>
        <w:rPr>
          <w:rFonts w:ascii="Arial" w:cs="Arial" w:eastAsia="Arial" w:hAnsi="Arial"/>
          <w:sz w:val="20"/>
          <w:szCs w:val="20"/>
          <w:u w:val="single" w:color="auto"/>
          <w:color w:val="0000FF"/>
        </w:rPr>
      </w:pPr>
      <w:r>
        <w:rPr>
          <w:rFonts w:ascii="Arial" w:cs="Arial" w:eastAsia="Arial" w:hAnsi="Arial"/>
          <w:sz w:val="20"/>
          <w:szCs w:val="20"/>
          <w:color w:val="auto"/>
        </w:rPr>
        <w:t>10.59</w:t>
      </w:r>
      <w:r>
        <w:rPr>
          <w:sz w:val="20"/>
          <w:szCs w:val="20"/>
          <w:color w:val="auto"/>
        </w:rPr>
        <w:tab/>
      </w:r>
      <w:hyperlink r:id="rId441">
        <w:r>
          <w:rPr>
            <w:rFonts w:ascii="Arial" w:cs="Arial" w:eastAsia="Arial" w:hAnsi="Arial"/>
            <w:sz w:val="20"/>
            <w:szCs w:val="20"/>
            <w:u w:val="single" w:color="auto"/>
            <w:color w:val="0000FF"/>
          </w:rPr>
          <w:t>Amended and Restated Consulting Agreement, dated as of October 1, 2020, by and between Scientific Games Corporation</w:t>
        </w:r>
      </w:hyperlink>
      <w:r>
        <w:rPr>
          <w:rFonts w:ascii="Arial" w:cs="Arial" w:eastAsia="Arial" w:hAnsi="Arial"/>
          <w:sz w:val="20"/>
          <w:szCs w:val="20"/>
          <w:u w:val="single" w:color="auto"/>
          <w:color w:val="0000FF"/>
        </w:rPr>
        <w:t xml:space="preserve"> </w:t>
      </w:r>
      <w:hyperlink r:id="rId441">
        <w:r>
          <w:rPr>
            <w:rFonts w:ascii="Arial" w:cs="Arial" w:eastAsia="Arial" w:hAnsi="Arial"/>
            <w:sz w:val="20"/>
            <w:szCs w:val="20"/>
            <w:u w:val="single" w:color="auto"/>
            <w:color w:val="0000FF"/>
          </w:rPr>
          <w:t>and Antonia Korsanos (incorporated by reference to Exhibit 10.11 to Scientific Games Corporation’s Quarterly Report on</w:t>
        </w:r>
      </w:hyperlink>
      <w:r>
        <w:rPr>
          <w:rFonts w:ascii="Arial" w:cs="Arial" w:eastAsia="Arial" w:hAnsi="Arial"/>
          <w:sz w:val="20"/>
          <w:szCs w:val="20"/>
          <w:u w:val="single" w:color="auto"/>
          <w:color w:val="0000FF"/>
        </w:rPr>
        <w:t xml:space="preserve"> </w:t>
      </w:r>
      <w:hyperlink r:id="rId441">
        <w:r>
          <w:rPr>
            <w:rFonts w:ascii="Arial" w:cs="Arial" w:eastAsia="Arial" w:hAnsi="Arial"/>
            <w:sz w:val="20"/>
            <w:szCs w:val="20"/>
            <w:u w:val="single" w:color="auto"/>
            <w:color w:val="0000FF"/>
          </w:rPr>
          <w:t>Form 10-Q for the quarter ended September 30, 2020).*</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-394970</wp:posOffset>
            </wp:positionV>
            <wp:extent cx="7132320" cy="3943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4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31" w:lineRule="exact"/>
        <w:rPr>
          <w:rFonts w:ascii="Arial" w:cs="Arial" w:eastAsia="Arial" w:hAnsi="Arial"/>
          <w:sz w:val="20"/>
          <w:szCs w:val="20"/>
          <w:u w:val="single" w:color="auto"/>
          <w:color w:val="0000FF"/>
        </w:rPr>
      </w:pPr>
    </w:p>
    <w:p>
      <w:pPr>
        <w:ind w:left="920" w:hanging="928"/>
        <w:spacing w:after="0" w:line="227" w:lineRule="auto"/>
        <w:tabs>
          <w:tab w:leader="none" w:pos="900" w:val="left"/>
        </w:tabs>
        <w:rPr>
          <w:rFonts w:ascii="Arial" w:cs="Arial" w:eastAsia="Arial" w:hAnsi="Arial"/>
          <w:sz w:val="18"/>
          <w:szCs w:val="18"/>
          <w:u w:val="single" w:color="auto"/>
          <w:color w:val="0000FF"/>
        </w:rPr>
      </w:pPr>
      <w:r>
        <w:rPr>
          <w:rFonts w:ascii="Arial" w:cs="Arial" w:eastAsia="Arial" w:hAnsi="Arial"/>
          <w:sz w:val="20"/>
          <w:szCs w:val="20"/>
          <w:color w:val="auto"/>
        </w:rPr>
        <w:t>10.60</w:t>
      </w:r>
      <w:r>
        <w:rPr>
          <w:sz w:val="20"/>
          <w:szCs w:val="20"/>
          <w:color w:val="auto"/>
        </w:rPr>
        <w:tab/>
      </w:r>
      <w:hyperlink r:id="rId443">
        <w:r>
          <w:rPr>
            <w:rFonts w:ascii="Arial" w:cs="Arial" w:eastAsia="Arial" w:hAnsi="Arial"/>
            <w:sz w:val="18"/>
            <w:szCs w:val="18"/>
            <w:u w:val="single" w:color="auto"/>
            <w:color w:val="0000FF"/>
          </w:rPr>
          <w:t>Amendment No. 8, dated as of July 28, 2021, among Scientific Games International, Inc., as the borrower, Scientific Games</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Corporation, as a guarantor, the several banks and other financial institutions or entities from time to time party thereto and</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Bank of America, N.A., as administrative agent, collateral agent, issuing lender and swingline lender, which amended and</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restated the Credit Agreement, dated as of October 18, 2013 (as amended, supplemented, amended and restated or otherwise</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modified from time to time, including without limitation, by that certain Amendment No. 1, dated as of October 1, 2014,</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Amendment No. 2, dated as of February 14, 2017, Amendment No. 3, dated as of August 14, 2017, Amendment No. 4, dated</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as of February 14, 2018, Amendment No. 5, dated as of November 20, 2019, Amendment No. 6, dated as of May 8, 2020,</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and Amendment No. 7, dated as of October 8, 2020) (incorporated by reference to Exhibit 10.1 to Scientific Games</w:t>
        </w:r>
      </w:hyperlink>
      <w:r>
        <w:rPr>
          <w:rFonts w:ascii="Arial" w:cs="Arial" w:eastAsia="Arial" w:hAnsi="Arial"/>
          <w:sz w:val="18"/>
          <w:szCs w:val="18"/>
          <w:u w:val="single" w:color="auto"/>
          <w:color w:val="0000FF"/>
        </w:rPr>
        <w:t xml:space="preserve"> </w:t>
      </w:r>
      <w:hyperlink r:id="rId443">
        <w:r>
          <w:rPr>
            <w:rFonts w:ascii="Arial" w:cs="Arial" w:eastAsia="Arial" w:hAnsi="Arial"/>
            <w:sz w:val="18"/>
            <w:szCs w:val="18"/>
            <w:u w:val="single" w:color="auto"/>
            <w:color w:val="0000FF"/>
          </w:rPr>
          <w:t>Corporation's Current Report on Form 8-K filed on July 28,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-1116330</wp:posOffset>
            </wp:positionV>
            <wp:extent cx="7132320" cy="11144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44">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spacing w:after="0" w:line="230" w:lineRule="exact"/>
        <w:rPr>
          <w:rFonts w:ascii="Arial" w:cs="Arial" w:eastAsia="Arial" w:hAnsi="Arial"/>
          <w:sz w:val="18"/>
          <w:szCs w:val="18"/>
          <w:u w:val="single" w:color="auto"/>
          <w:color w:val="0000FF"/>
        </w:rPr>
      </w:pPr>
    </w:p>
    <w:p>
      <w:pPr>
        <w:ind w:left="920" w:hanging="797"/>
        <w:spacing w:after="0"/>
        <w:tabs>
          <w:tab w:leader="none" w:pos="920" w:val="left"/>
        </w:tabs>
        <w:numPr>
          <w:ilvl w:val="0"/>
          <w:numId w:val="54"/>
        </w:numPr>
        <w:rPr>
          <w:rFonts w:ascii="Arial" w:cs="Arial" w:eastAsia="Arial" w:hAnsi="Arial"/>
          <w:sz w:val="20"/>
          <w:szCs w:val="20"/>
          <w:u w:val="single" w:color="auto"/>
          <w:color w:val="0000FF"/>
        </w:rPr>
      </w:pPr>
      <w:hyperlink w:anchor="page205">
        <w:r>
          <w:rPr>
            <w:rFonts w:ascii="Arial" w:cs="Arial" w:eastAsia="Arial" w:hAnsi="Arial"/>
            <w:sz w:val="20"/>
            <w:szCs w:val="20"/>
            <w:u w:val="single" w:color="auto"/>
            <w:color w:val="0000FF"/>
          </w:rPr>
          <w:t>List of Subsidiaries.(†)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-143510</wp:posOffset>
            </wp:positionV>
            <wp:extent cx="71323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7" w:lineRule="exact"/>
        <w:rPr>
          <w:rFonts w:ascii="Arial" w:cs="Arial" w:eastAsia="Arial" w:hAnsi="Arial"/>
          <w:sz w:val="18"/>
          <w:szCs w:val="18"/>
          <w:u w:val="single" w:color="auto"/>
          <w:color w:val="0000FF"/>
        </w:rPr>
      </w:pPr>
    </w:p>
    <w:p>
      <w:pPr>
        <w:jc w:val="center"/>
        <w:ind w:right="360"/>
        <w:spacing w:after="0"/>
        <w:rPr>
          <w:sz w:val="20"/>
          <w:szCs w:val="20"/>
          <w:color w:val="auto"/>
        </w:rPr>
      </w:pPr>
      <w:r>
        <w:rPr>
          <w:rFonts w:ascii="Arial" w:cs="Arial" w:eastAsia="Arial" w:hAnsi="Arial"/>
          <w:sz w:val="18"/>
          <w:szCs w:val="18"/>
          <w:color w:val="auto"/>
        </w:rPr>
        <w:t>146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933" w:right="35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50"/>
        </w:trPr>
        <w:tc>
          <w:tcPr>
            <w:tcW w:w="1300" w:type="dxa"/>
            <w:vAlign w:val="bottom"/>
            <w:shd w:val="clear" w:color="auto" w:fill="CCEEFF"/>
          </w:tcPr>
          <w:p>
            <w:pPr>
              <w:jc w:val="center"/>
              <w:ind w:right="1"/>
              <w:spacing w:after="0"/>
              <w:rPr>
                <w:sz w:val="20"/>
                <w:szCs w:val="20"/>
                <w:color w:val="auto"/>
              </w:rPr>
            </w:pPr>
            <w:r>
              <w:rPr>
                <w:rFonts w:ascii="Arial" w:cs="Arial" w:eastAsia="Arial" w:hAnsi="Arial"/>
                <w:sz w:val="20"/>
                <w:szCs w:val="20"/>
                <w:color w:val="auto"/>
                <w:w w:val="92"/>
              </w:rPr>
              <w:t>23.1</w:t>
            </w:r>
          </w:p>
        </w:tc>
        <w:tc>
          <w:tcPr>
            <w:tcW w:w="9940" w:type="dxa"/>
            <w:vAlign w:val="bottom"/>
            <w:gridSpan w:val="18"/>
            <w:shd w:val="clear" w:color="auto" w:fill="CCEEFF"/>
          </w:tcPr>
          <w:p>
            <w:pPr>
              <w:spacing w:after="0"/>
              <w:rPr>
                <w:rFonts w:ascii="Arial" w:cs="Arial" w:eastAsia="Arial" w:hAnsi="Arial"/>
                <w:sz w:val="20"/>
                <w:szCs w:val="20"/>
                <w:color w:val="0000FF"/>
              </w:rPr>
            </w:pPr>
            <w:hyperlink w:anchor="page209">
              <w:r>
                <w:rPr>
                  <w:rFonts w:ascii="Arial" w:cs="Arial" w:eastAsia="Arial" w:hAnsi="Arial"/>
                  <w:sz w:val="20"/>
                  <w:szCs w:val="20"/>
                  <w:color w:val="0000FF"/>
                </w:rPr>
                <w:t>Consent of Deloitte &amp; Touche LLP, Independent Registered Public Accounting Firm.(†)</w:t>
              </w:r>
            </w:hyperlink>
          </w:p>
        </w:tc>
      </w:tr>
      <w:tr>
        <w:trPr>
          <w:trHeight w:val="203"/>
        </w:trPr>
        <w:tc>
          <w:tcPr>
            <w:tcW w:w="1300" w:type="dxa"/>
            <w:vAlign w:val="bottom"/>
            <w:tcBorders>
              <w:top w:val="single" w:sz="8" w:color="CCEE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23"/>
        </w:trPr>
        <w:tc>
          <w:tcPr>
            <w:tcW w:w="1300" w:type="dxa"/>
            <w:vAlign w:val="bottom"/>
            <w:shd w:val="clear" w:color="auto" w:fill="CCEEFF"/>
          </w:tcPr>
          <w:p>
            <w:pPr>
              <w:jc w:val="center"/>
              <w:ind w:right="1"/>
              <w:spacing w:after="0" w:line="203" w:lineRule="exact"/>
              <w:rPr>
                <w:sz w:val="20"/>
                <w:szCs w:val="20"/>
                <w:color w:val="auto"/>
              </w:rPr>
            </w:pPr>
            <w:r>
              <w:rPr>
                <w:rFonts w:ascii="Arial" w:cs="Arial" w:eastAsia="Arial" w:hAnsi="Arial"/>
                <w:sz w:val="20"/>
                <w:szCs w:val="20"/>
                <w:color w:val="auto"/>
                <w:w w:val="92"/>
              </w:rPr>
              <w:t>31.1</w:t>
            </w:r>
          </w:p>
        </w:tc>
        <w:tc>
          <w:tcPr>
            <w:tcW w:w="9940" w:type="dxa"/>
            <w:vAlign w:val="bottom"/>
            <w:gridSpan w:val="18"/>
            <w:shd w:val="clear" w:color="auto" w:fill="CCEEFF"/>
          </w:tcPr>
          <w:p>
            <w:pPr>
              <w:spacing w:after="0" w:line="203" w:lineRule="exact"/>
              <w:rPr>
                <w:rFonts w:ascii="Arial" w:cs="Arial" w:eastAsia="Arial" w:hAnsi="Arial"/>
                <w:sz w:val="20"/>
                <w:szCs w:val="20"/>
                <w:color w:val="0000FF"/>
                <w:w w:val="99"/>
              </w:rPr>
            </w:pPr>
            <w:hyperlink w:anchor="page210">
              <w:r>
                <w:rPr>
                  <w:rFonts w:ascii="Arial" w:cs="Arial" w:eastAsia="Arial" w:hAnsi="Arial"/>
                  <w:sz w:val="20"/>
                  <w:szCs w:val="20"/>
                  <w:color w:val="0000FF"/>
                  <w:w w:val="99"/>
                </w:rPr>
                <w:t>Certification of Chief Executive Officer pursuant to Rule 13a-14(a) under the Securities Exchange Act of 1934.(†)</w:t>
              </w:r>
            </w:hyperlink>
          </w:p>
        </w:tc>
      </w:tr>
      <w:tr>
        <w:trPr>
          <w:trHeight w:val="203"/>
        </w:trPr>
        <w:tc>
          <w:tcPr>
            <w:tcW w:w="1300" w:type="dxa"/>
            <w:vAlign w:val="bottom"/>
            <w:tcBorders>
              <w:top w:val="single" w:sz="8" w:color="CCEE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23"/>
        </w:trPr>
        <w:tc>
          <w:tcPr>
            <w:tcW w:w="1300" w:type="dxa"/>
            <w:vAlign w:val="bottom"/>
            <w:shd w:val="clear" w:color="auto" w:fill="CCEEFF"/>
          </w:tcPr>
          <w:p>
            <w:pPr>
              <w:jc w:val="center"/>
              <w:ind w:right="1"/>
              <w:spacing w:after="0" w:line="203" w:lineRule="exact"/>
              <w:rPr>
                <w:sz w:val="20"/>
                <w:szCs w:val="20"/>
                <w:color w:val="auto"/>
              </w:rPr>
            </w:pPr>
            <w:r>
              <w:rPr>
                <w:rFonts w:ascii="Arial" w:cs="Arial" w:eastAsia="Arial" w:hAnsi="Arial"/>
                <w:sz w:val="20"/>
                <w:szCs w:val="20"/>
                <w:color w:val="auto"/>
                <w:w w:val="92"/>
              </w:rPr>
              <w:t>31.2</w:t>
            </w:r>
          </w:p>
        </w:tc>
        <w:tc>
          <w:tcPr>
            <w:tcW w:w="9940" w:type="dxa"/>
            <w:vAlign w:val="bottom"/>
            <w:gridSpan w:val="18"/>
            <w:shd w:val="clear" w:color="auto" w:fill="CCEEFF"/>
          </w:tcPr>
          <w:p>
            <w:pPr>
              <w:spacing w:after="0" w:line="203" w:lineRule="exact"/>
              <w:rPr>
                <w:rFonts w:ascii="Arial" w:cs="Arial" w:eastAsia="Arial" w:hAnsi="Arial"/>
                <w:sz w:val="20"/>
                <w:szCs w:val="20"/>
                <w:color w:val="0000FF"/>
              </w:rPr>
            </w:pPr>
            <w:hyperlink w:anchor="page211">
              <w:r>
                <w:rPr>
                  <w:rFonts w:ascii="Arial" w:cs="Arial" w:eastAsia="Arial" w:hAnsi="Arial"/>
                  <w:sz w:val="20"/>
                  <w:szCs w:val="20"/>
                  <w:color w:val="0000FF"/>
                </w:rPr>
                <w:t>Certification of Chief Financial Officer pursuant to Rule 13a-14(a) under the Securities Exchange Act of 1934.(†)</w:t>
              </w:r>
            </w:hyperlink>
          </w:p>
        </w:tc>
      </w:tr>
      <w:tr>
        <w:trPr>
          <w:trHeight w:val="203"/>
        </w:trPr>
        <w:tc>
          <w:tcPr>
            <w:tcW w:w="1300" w:type="dxa"/>
            <w:vAlign w:val="bottom"/>
            <w:tcBorders>
              <w:top w:val="single" w:sz="8" w:color="CCEE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02"/>
        </w:trPr>
        <w:tc>
          <w:tcPr>
            <w:tcW w:w="1300" w:type="dxa"/>
            <w:vAlign w:val="bottom"/>
            <w:shd w:val="clear" w:color="auto" w:fill="CCEEFF"/>
          </w:tcPr>
          <w:p>
            <w:pPr>
              <w:jc w:val="center"/>
              <w:ind w:right="1"/>
              <w:spacing w:after="0" w:line="203" w:lineRule="exact"/>
              <w:rPr>
                <w:sz w:val="20"/>
                <w:szCs w:val="20"/>
                <w:color w:val="auto"/>
              </w:rPr>
            </w:pPr>
            <w:r>
              <w:rPr>
                <w:rFonts w:ascii="Arial" w:cs="Arial" w:eastAsia="Arial" w:hAnsi="Arial"/>
                <w:sz w:val="20"/>
                <w:szCs w:val="20"/>
                <w:color w:val="auto"/>
                <w:w w:val="92"/>
              </w:rPr>
              <w:t>32.1</w:t>
            </w:r>
          </w:p>
        </w:tc>
        <w:tc>
          <w:tcPr>
            <w:tcW w:w="9940" w:type="dxa"/>
            <w:vAlign w:val="bottom"/>
            <w:gridSpan w:val="18"/>
            <w:shd w:val="clear" w:color="auto" w:fill="CCEEFF"/>
          </w:tcPr>
          <w:p>
            <w:pPr>
              <w:spacing w:after="0" w:line="203" w:lineRule="exact"/>
              <w:rPr>
                <w:rFonts w:ascii="Arial" w:cs="Arial" w:eastAsia="Arial" w:hAnsi="Arial"/>
                <w:sz w:val="20"/>
                <w:szCs w:val="20"/>
                <w:color w:val="0000FF"/>
                <w:w w:val="95"/>
              </w:rPr>
            </w:pPr>
            <w:hyperlink w:anchor="page212">
              <w:r>
                <w:rPr>
                  <w:rFonts w:ascii="Arial" w:cs="Arial" w:eastAsia="Arial" w:hAnsi="Arial"/>
                  <w:sz w:val="20"/>
                  <w:szCs w:val="20"/>
                  <w:color w:val="0000FF"/>
                  <w:w w:val="95"/>
                </w:rPr>
                <w:t>Certification of Chief Executive Officer pursuant to 18 U.S.C. Section 1350, as adopted pursuant to Section 906 of the</w:t>
              </w:r>
            </w:hyperlink>
          </w:p>
        </w:tc>
      </w:tr>
      <w:tr>
        <w:trPr>
          <w:trHeight w:val="190"/>
        </w:trPr>
        <w:tc>
          <w:tcPr>
            <w:tcW w:w="1300" w:type="dxa"/>
            <w:vAlign w:val="bottom"/>
            <w:tcBorders>
              <w:top w:val="single" w:sz="8" w:color="CCEEFF"/>
            </w:tcBorders>
            <w:shd w:val="clear" w:color="auto" w:fill="CCEEFF"/>
          </w:tcPr>
          <w:p>
            <w:pPr>
              <w:spacing w:after="0"/>
              <w:rPr>
                <w:sz w:val="16"/>
                <w:szCs w:val="16"/>
                <w:color w:val="auto"/>
              </w:rPr>
            </w:pPr>
          </w:p>
        </w:tc>
        <w:tc>
          <w:tcPr>
            <w:tcW w:w="9400" w:type="dxa"/>
            <w:vAlign w:val="bottom"/>
            <w:tcBorders>
              <w:top w:val="single" w:sz="8" w:color="0000FF"/>
            </w:tcBorders>
            <w:gridSpan w:val="12"/>
            <w:shd w:val="clear" w:color="auto" w:fill="CCEEFF"/>
          </w:tcPr>
          <w:p>
            <w:pPr>
              <w:spacing w:after="0" w:line="169" w:lineRule="exact"/>
              <w:rPr>
                <w:rFonts w:ascii="Arial" w:cs="Arial" w:eastAsia="Arial" w:hAnsi="Arial"/>
                <w:sz w:val="19"/>
                <w:szCs w:val="19"/>
                <w:color w:val="0000FF"/>
              </w:rPr>
            </w:pPr>
            <w:hyperlink w:anchor="page212">
              <w:r>
                <w:rPr>
                  <w:rFonts w:ascii="Arial" w:cs="Arial" w:eastAsia="Arial" w:hAnsi="Arial"/>
                  <w:sz w:val="19"/>
                  <w:szCs w:val="19"/>
                  <w:color w:val="0000FF"/>
                </w:rPr>
                <w:t>Sarbanes-Oxley Act of 2002.**</w:t>
              </w:r>
            </w:hyperlink>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203"/>
        </w:trPr>
        <w:tc>
          <w:tcPr>
            <w:tcW w:w="1300" w:type="dxa"/>
            <w:vAlign w:val="bottom"/>
            <w:tcBorders>
              <w:top w:val="single" w:sz="8" w:color="CCEE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03"/>
        </w:trPr>
        <w:tc>
          <w:tcPr>
            <w:tcW w:w="1300" w:type="dxa"/>
            <w:vAlign w:val="bottom"/>
            <w:shd w:val="clear" w:color="auto" w:fill="CCEEFF"/>
          </w:tcPr>
          <w:p>
            <w:pPr>
              <w:jc w:val="center"/>
              <w:ind w:right="1"/>
              <w:spacing w:after="0" w:line="203" w:lineRule="exact"/>
              <w:rPr>
                <w:sz w:val="20"/>
                <w:szCs w:val="20"/>
                <w:color w:val="auto"/>
              </w:rPr>
            </w:pPr>
            <w:r>
              <w:rPr>
                <w:rFonts w:ascii="Arial" w:cs="Arial" w:eastAsia="Arial" w:hAnsi="Arial"/>
                <w:sz w:val="20"/>
                <w:szCs w:val="20"/>
                <w:color w:val="auto"/>
                <w:w w:val="92"/>
              </w:rPr>
              <w:t>32.2</w:t>
            </w:r>
          </w:p>
        </w:tc>
        <w:tc>
          <w:tcPr>
            <w:tcW w:w="9940" w:type="dxa"/>
            <w:vAlign w:val="bottom"/>
            <w:gridSpan w:val="18"/>
            <w:shd w:val="clear" w:color="auto" w:fill="CCEEFF"/>
          </w:tcPr>
          <w:p>
            <w:pPr>
              <w:spacing w:after="0" w:line="203" w:lineRule="exact"/>
              <w:rPr>
                <w:rFonts w:ascii="Arial" w:cs="Arial" w:eastAsia="Arial" w:hAnsi="Arial"/>
                <w:sz w:val="20"/>
                <w:szCs w:val="20"/>
                <w:color w:val="0000FF"/>
                <w:w w:val="96"/>
              </w:rPr>
            </w:pPr>
            <w:hyperlink w:anchor="page213">
              <w:r>
                <w:rPr>
                  <w:rFonts w:ascii="Arial" w:cs="Arial" w:eastAsia="Arial" w:hAnsi="Arial"/>
                  <w:sz w:val="20"/>
                  <w:szCs w:val="20"/>
                  <w:color w:val="0000FF"/>
                  <w:w w:val="96"/>
                </w:rPr>
                <w:t>Certification of Chief Financial Officer pursuant to 18 U.S.C. Section 1350, as adopted pursuant to Section 906 of the</w:t>
              </w:r>
            </w:hyperlink>
          </w:p>
        </w:tc>
      </w:tr>
      <w:tr>
        <w:trPr>
          <w:trHeight w:val="189"/>
        </w:trPr>
        <w:tc>
          <w:tcPr>
            <w:tcW w:w="1300" w:type="dxa"/>
            <w:vAlign w:val="bottom"/>
            <w:tcBorders>
              <w:top w:val="single" w:sz="8" w:color="CCEEFF"/>
            </w:tcBorders>
            <w:shd w:val="clear" w:color="auto" w:fill="CCEEFF"/>
          </w:tcPr>
          <w:p>
            <w:pPr>
              <w:spacing w:after="0"/>
              <w:rPr>
                <w:sz w:val="16"/>
                <w:szCs w:val="16"/>
                <w:color w:val="auto"/>
              </w:rPr>
            </w:pPr>
          </w:p>
        </w:tc>
        <w:tc>
          <w:tcPr>
            <w:tcW w:w="9340" w:type="dxa"/>
            <w:vAlign w:val="bottom"/>
            <w:tcBorders>
              <w:top w:val="single" w:sz="8" w:color="0000FF"/>
            </w:tcBorders>
            <w:gridSpan w:val="11"/>
            <w:shd w:val="clear" w:color="auto" w:fill="CCEEFF"/>
          </w:tcPr>
          <w:p>
            <w:pPr>
              <w:spacing w:after="0" w:line="169" w:lineRule="exact"/>
              <w:rPr>
                <w:rFonts w:ascii="Arial" w:cs="Arial" w:eastAsia="Arial" w:hAnsi="Arial"/>
                <w:sz w:val="19"/>
                <w:szCs w:val="19"/>
                <w:color w:val="0000FF"/>
              </w:rPr>
            </w:pPr>
            <w:hyperlink w:anchor="page213">
              <w:r>
                <w:rPr>
                  <w:rFonts w:ascii="Arial" w:cs="Arial" w:eastAsia="Arial" w:hAnsi="Arial"/>
                  <w:sz w:val="19"/>
                  <w:szCs w:val="19"/>
                  <w:color w:val="0000FF"/>
                </w:rPr>
                <w:t>Sarbanes-Oxley Act of 2002.**</w:t>
              </w:r>
            </w:hyperlink>
          </w:p>
        </w:tc>
        <w:tc>
          <w:tcPr>
            <w:tcW w:w="200" w:type="dxa"/>
            <w:vAlign w:val="bottom"/>
            <w:tcBorders>
              <w:top w:val="single" w:sz="8" w:color="CCEEFF"/>
            </w:tcBorders>
            <w:gridSpan w:val="2"/>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203"/>
        </w:trPr>
        <w:tc>
          <w:tcPr>
            <w:tcW w:w="1300" w:type="dxa"/>
            <w:vAlign w:val="bottom"/>
            <w:tcBorders>
              <w:top w:val="single" w:sz="8" w:color="CCEE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96"/>
        </w:trPr>
        <w:tc>
          <w:tcPr>
            <w:tcW w:w="1300" w:type="dxa"/>
            <w:vAlign w:val="bottom"/>
            <w:shd w:val="clear" w:color="auto" w:fill="CCEEFF"/>
          </w:tcPr>
          <w:p>
            <w:pPr>
              <w:jc w:val="center"/>
              <w:ind w:right="1"/>
              <w:spacing w:after="0" w:line="189" w:lineRule="exact"/>
              <w:rPr>
                <w:sz w:val="20"/>
                <w:szCs w:val="20"/>
                <w:color w:val="auto"/>
              </w:rPr>
            </w:pPr>
            <w:r>
              <w:rPr>
                <w:rFonts w:ascii="Arial" w:cs="Arial" w:eastAsia="Arial" w:hAnsi="Arial"/>
                <w:sz w:val="20"/>
                <w:szCs w:val="20"/>
                <w:color w:val="auto"/>
                <w:w w:val="92"/>
              </w:rPr>
              <w:t>99.1</w:t>
            </w:r>
          </w:p>
        </w:tc>
        <w:tc>
          <w:tcPr>
            <w:tcW w:w="9940" w:type="dxa"/>
            <w:vAlign w:val="bottom"/>
            <w:gridSpan w:val="18"/>
            <w:shd w:val="clear" w:color="auto" w:fill="CCEEFF"/>
          </w:tcPr>
          <w:p>
            <w:pPr>
              <w:spacing w:after="0" w:line="189" w:lineRule="exact"/>
              <w:rPr>
                <w:rFonts w:ascii="Arial" w:cs="Arial" w:eastAsia="Arial" w:hAnsi="Arial"/>
                <w:sz w:val="20"/>
                <w:szCs w:val="20"/>
                <w:color w:val="0000FF"/>
                <w:w w:val="98"/>
              </w:rPr>
            </w:pPr>
            <w:hyperlink r:id="rId447">
              <w:r>
                <w:rPr>
                  <w:rFonts w:ascii="Arial" w:cs="Arial" w:eastAsia="Arial" w:hAnsi="Arial"/>
                  <w:sz w:val="20"/>
                  <w:szCs w:val="20"/>
                  <w:color w:val="0000FF"/>
                  <w:w w:val="98"/>
                </w:rPr>
                <w:t>Terms and Conditions of Equity Awards to Key Employees under the Scientific Games Corporation 2003 Incentive</w:t>
              </w:r>
            </w:hyperlink>
          </w:p>
        </w:tc>
      </w:tr>
      <w:tr>
        <w:trPr>
          <w:trHeight w:val="175"/>
        </w:trPr>
        <w:tc>
          <w:tcPr>
            <w:tcW w:w="1300" w:type="dxa"/>
            <w:vAlign w:val="bottom"/>
            <w:tcBorders>
              <w:top w:val="single" w:sz="8" w:color="CCEEFF"/>
            </w:tcBorders>
            <w:shd w:val="clear" w:color="auto" w:fill="CCEEFF"/>
          </w:tcPr>
          <w:p>
            <w:pPr>
              <w:spacing w:after="0"/>
              <w:rPr>
                <w:sz w:val="15"/>
                <w:szCs w:val="15"/>
                <w:color w:val="auto"/>
              </w:rPr>
            </w:pPr>
          </w:p>
        </w:tc>
        <w:tc>
          <w:tcPr>
            <w:tcW w:w="9140" w:type="dxa"/>
            <w:vAlign w:val="bottom"/>
            <w:tcBorders>
              <w:top w:val="single" w:sz="8" w:color="0000FF"/>
            </w:tcBorders>
            <w:gridSpan w:val="9"/>
            <w:shd w:val="clear" w:color="auto" w:fill="CCEEFF"/>
          </w:tcPr>
          <w:p>
            <w:pPr>
              <w:spacing w:after="0" w:line="176" w:lineRule="exact"/>
              <w:rPr>
                <w:rFonts w:ascii="Arial" w:cs="Arial" w:eastAsia="Arial" w:hAnsi="Arial"/>
                <w:sz w:val="20"/>
                <w:szCs w:val="20"/>
                <w:color w:val="0000FF"/>
                <w:w w:val="90"/>
              </w:rPr>
            </w:pPr>
            <w:hyperlink r:id="rId447">
              <w:r>
                <w:rPr>
                  <w:rFonts w:ascii="Arial" w:cs="Arial" w:eastAsia="Arial" w:hAnsi="Arial"/>
                  <w:sz w:val="20"/>
                  <w:szCs w:val="20"/>
                  <w:color w:val="0000FF"/>
                  <w:w w:val="90"/>
                </w:rPr>
                <w:t>Compensation Plan (Amended and Restated June 12, 2019), for awards granted in 2021 or later (incorporated by</w:t>
              </w:r>
            </w:hyperlink>
          </w:p>
        </w:tc>
        <w:tc>
          <w:tcPr>
            <w:tcW w:w="800" w:type="dxa"/>
            <w:vAlign w:val="bottom"/>
            <w:tcBorders>
              <w:top w:val="single" w:sz="8" w:color="CCEEFF"/>
            </w:tcBorders>
            <w:gridSpan w:val="9"/>
            <w:shd w:val="clear" w:color="auto" w:fill="CCEEFF"/>
          </w:tcPr>
          <w:p>
            <w:pPr>
              <w:spacing w:after="0" w:line="176" w:lineRule="exact"/>
              <w:rPr>
                <w:rFonts w:ascii="Arial" w:cs="Arial" w:eastAsia="Arial" w:hAnsi="Arial"/>
                <w:sz w:val="20"/>
                <w:szCs w:val="20"/>
                <w:color w:val="0000FF"/>
                <w:w w:val="73"/>
              </w:rPr>
            </w:pPr>
            <w:hyperlink r:id="rId447">
              <w:r>
                <w:rPr>
                  <w:rFonts w:ascii="Arial" w:cs="Arial" w:eastAsia="Arial" w:hAnsi="Arial"/>
                  <w:sz w:val="20"/>
                  <w:szCs w:val="20"/>
                  <w:color w:val="0000FF"/>
                  <w:w w:val="73"/>
                </w:rPr>
                <w:t>reference to</w:t>
              </w:r>
            </w:hyperlink>
          </w:p>
        </w:tc>
      </w:tr>
      <w:tr>
        <w:trPr>
          <w:trHeight w:val="190"/>
        </w:trPr>
        <w:tc>
          <w:tcPr>
            <w:tcW w:w="1300" w:type="dxa"/>
            <w:vAlign w:val="bottom"/>
            <w:tcBorders>
              <w:top w:val="single" w:sz="8" w:color="CCEEFF"/>
            </w:tcBorders>
            <w:shd w:val="clear" w:color="auto" w:fill="CCEEFF"/>
          </w:tcPr>
          <w:p>
            <w:pPr>
              <w:spacing w:after="0"/>
              <w:rPr>
                <w:sz w:val="16"/>
                <w:szCs w:val="16"/>
                <w:color w:val="auto"/>
              </w:rPr>
            </w:pPr>
          </w:p>
        </w:tc>
        <w:tc>
          <w:tcPr>
            <w:tcW w:w="9920" w:type="dxa"/>
            <w:vAlign w:val="bottom"/>
            <w:tcBorders>
              <w:top w:val="single" w:sz="8" w:color="0000FF"/>
            </w:tcBorders>
            <w:gridSpan w:val="17"/>
            <w:shd w:val="clear" w:color="auto" w:fill="CCEEFF"/>
          </w:tcPr>
          <w:p>
            <w:pPr>
              <w:spacing w:after="0" w:line="169" w:lineRule="exact"/>
              <w:rPr>
                <w:rFonts w:ascii="Arial" w:cs="Arial" w:eastAsia="Arial" w:hAnsi="Arial"/>
                <w:sz w:val="19"/>
                <w:szCs w:val="19"/>
                <w:color w:val="0000FF"/>
                <w:w w:val="99"/>
              </w:rPr>
            </w:pPr>
            <w:hyperlink r:id="rId447">
              <w:r>
                <w:rPr>
                  <w:rFonts w:ascii="Arial" w:cs="Arial" w:eastAsia="Arial" w:hAnsi="Arial"/>
                  <w:sz w:val="19"/>
                  <w:szCs w:val="19"/>
                  <w:color w:val="0000FF"/>
                  <w:w w:val="99"/>
                </w:rPr>
                <w:t>Exhibit 99.1 to Scientific Games Corporation’s Quarterly Report on Form 10-Q for the quarter ended March 31, 2021).*</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203"/>
        </w:trPr>
        <w:tc>
          <w:tcPr>
            <w:tcW w:w="1300" w:type="dxa"/>
            <w:vAlign w:val="bottom"/>
            <w:tcBorders>
              <w:top w:val="single" w:sz="8" w:color="CCEE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02"/>
        </w:trPr>
        <w:tc>
          <w:tcPr>
            <w:tcW w:w="1300" w:type="dxa"/>
            <w:vAlign w:val="bottom"/>
            <w:shd w:val="clear" w:color="auto" w:fill="CCEEFF"/>
          </w:tcPr>
          <w:p>
            <w:pPr>
              <w:jc w:val="center"/>
              <w:ind w:right="1"/>
              <w:spacing w:after="0" w:line="203" w:lineRule="exact"/>
              <w:rPr>
                <w:sz w:val="20"/>
                <w:szCs w:val="20"/>
                <w:color w:val="auto"/>
              </w:rPr>
            </w:pPr>
            <w:r>
              <w:rPr>
                <w:rFonts w:ascii="Arial" w:cs="Arial" w:eastAsia="Arial" w:hAnsi="Arial"/>
                <w:sz w:val="20"/>
                <w:szCs w:val="20"/>
                <w:color w:val="auto"/>
                <w:w w:val="92"/>
              </w:rPr>
              <w:t>99.2</w:t>
            </w:r>
          </w:p>
        </w:tc>
        <w:tc>
          <w:tcPr>
            <w:tcW w:w="9940" w:type="dxa"/>
            <w:vAlign w:val="bottom"/>
            <w:gridSpan w:val="18"/>
            <w:shd w:val="clear" w:color="auto" w:fill="CCEEFF"/>
          </w:tcPr>
          <w:p>
            <w:pPr>
              <w:spacing w:after="0" w:line="203" w:lineRule="exact"/>
              <w:rPr>
                <w:rFonts w:ascii="Arial" w:cs="Arial" w:eastAsia="Arial" w:hAnsi="Arial"/>
                <w:sz w:val="20"/>
                <w:szCs w:val="20"/>
                <w:color w:val="0000FF"/>
                <w:w w:val="91"/>
              </w:rPr>
            </w:pPr>
            <w:hyperlink r:id="rId448">
              <w:r>
                <w:rPr>
                  <w:rFonts w:ascii="Arial" w:cs="Arial" w:eastAsia="Arial" w:hAnsi="Arial"/>
                  <w:sz w:val="20"/>
                  <w:szCs w:val="20"/>
                  <w:color w:val="0000FF"/>
                  <w:w w:val="91"/>
                </w:rPr>
                <w:t>Terms and Conditions of Equity Awards to Non-Employee Directors under the Scientific Games Corporation 2003 Incentive</w:t>
              </w:r>
            </w:hyperlink>
          </w:p>
        </w:tc>
      </w:tr>
      <w:tr>
        <w:trPr>
          <w:trHeight w:val="169"/>
        </w:trPr>
        <w:tc>
          <w:tcPr>
            <w:tcW w:w="130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0000FF"/>
            </w:tcBorders>
            <w:gridSpan w:val="16"/>
            <w:shd w:val="clear" w:color="auto" w:fill="CCEEFF"/>
          </w:tcPr>
          <w:p>
            <w:pPr>
              <w:spacing w:after="0" w:line="169" w:lineRule="exact"/>
              <w:rPr>
                <w:rFonts w:ascii="Arial" w:cs="Arial" w:eastAsia="Arial" w:hAnsi="Arial"/>
                <w:sz w:val="19"/>
                <w:szCs w:val="19"/>
                <w:color w:val="0000FF"/>
                <w:w w:val="94"/>
              </w:rPr>
            </w:pPr>
            <w:hyperlink r:id="rId448">
              <w:r>
                <w:rPr>
                  <w:rFonts w:ascii="Arial" w:cs="Arial" w:eastAsia="Arial" w:hAnsi="Arial"/>
                  <w:sz w:val="19"/>
                  <w:szCs w:val="19"/>
                  <w:color w:val="0000FF"/>
                  <w:w w:val="94"/>
                </w:rPr>
                <w:t>Compensation Plan (Amended and Restated June 12, 2019) (incorporated by reference to Exhibit 99.10 to Scientific Games</w:t>
              </w:r>
            </w:hyperlink>
          </w:p>
        </w:tc>
        <w:tc>
          <w:tcPr>
            <w:tcW w:w="60" w:type="dxa"/>
            <w:vAlign w:val="bottom"/>
            <w:tcBorders>
              <w:top w:val="single" w:sz="8" w:color="CCEEFF"/>
            </w:tcBorders>
            <w:gridSpan w:val="2"/>
            <w:shd w:val="clear" w:color="auto" w:fill="CCEEFF"/>
          </w:tcPr>
          <w:p>
            <w:pPr>
              <w:spacing w:after="0"/>
              <w:rPr>
                <w:sz w:val="14"/>
                <w:szCs w:val="14"/>
                <w:color w:val="auto"/>
              </w:rPr>
            </w:pPr>
          </w:p>
        </w:tc>
      </w:tr>
      <w:tr>
        <w:trPr>
          <w:trHeight w:val="189"/>
        </w:trPr>
        <w:tc>
          <w:tcPr>
            <w:tcW w:w="1300" w:type="dxa"/>
            <w:vAlign w:val="bottom"/>
            <w:tcBorders>
              <w:top w:val="single" w:sz="8" w:color="CCEEFF"/>
            </w:tcBorders>
            <w:shd w:val="clear" w:color="auto" w:fill="CCEEFF"/>
          </w:tcPr>
          <w:p>
            <w:pPr>
              <w:spacing w:after="0"/>
              <w:rPr>
                <w:sz w:val="16"/>
                <w:szCs w:val="16"/>
                <w:color w:val="auto"/>
              </w:rPr>
            </w:pPr>
          </w:p>
        </w:tc>
        <w:tc>
          <w:tcPr>
            <w:tcW w:w="9820" w:type="dxa"/>
            <w:vAlign w:val="bottom"/>
            <w:tcBorders>
              <w:top w:val="single" w:sz="8" w:color="0000FF"/>
            </w:tcBorders>
            <w:gridSpan w:val="15"/>
            <w:shd w:val="clear" w:color="auto" w:fill="CCEEFF"/>
          </w:tcPr>
          <w:p>
            <w:pPr>
              <w:spacing w:after="0" w:line="169" w:lineRule="exact"/>
              <w:rPr>
                <w:rFonts w:ascii="Arial" w:cs="Arial" w:eastAsia="Arial" w:hAnsi="Arial"/>
                <w:sz w:val="19"/>
                <w:szCs w:val="19"/>
                <w:color w:val="0000FF"/>
              </w:rPr>
            </w:pPr>
            <w:hyperlink r:id="rId448">
              <w:r>
                <w:rPr>
                  <w:rFonts w:ascii="Arial" w:cs="Arial" w:eastAsia="Arial" w:hAnsi="Arial"/>
                  <w:sz w:val="19"/>
                  <w:szCs w:val="19"/>
                  <w:color w:val="0000FF"/>
                </w:rPr>
                <w:t>Corporation’s Annual Report on Form 10-K for the year ended December 31, 2014).*</w:t>
              </w:r>
            </w:hyperlink>
          </w:p>
        </w:tc>
        <w:tc>
          <w:tcPr>
            <w:tcW w:w="120" w:type="dxa"/>
            <w:vAlign w:val="bottom"/>
            <w:tcBorders>
              <w:top w:val="single" w:sz="8" w:color="CCEEFF"/>
            </w:tcBorders>
            <w:gridSpan w:val="3"/>
            <w:shd w:val="clear" w:color="auto" w:fill="CCEEFF"/>
          </w:tcPr>
          <w:p>
            <w:pPr>
              <w:spacing w:after="0"/>
              <w:rPr>
                <w:sz w:val="16"/>
                <w:szCs w:val="16"/>
                <w:color w:val="auto"/>
              </w:rPr>
            </w:pPr>
          </w:p>
        </w:tc>
      </w:tr>
      <w:tr>
        <w:trPr>
          <w:trHeight w:val="203"/>
        </w:trPr>
        <w:tc>
          <w:tcPr>
            <w:tcW w:w="1300" w:type="dxa"/>
            <w:vAlign w:val="bottom"/>
            <w:tcBorders>
              <w:top w:val="single" w:sz="8" w:color="CCEE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280" w:type="dxa"/>
            <w:vAlign w:val="bottom"/>
            <w:tcBorders>
              <w:top w:val="single" w:sz="8" w:color="0000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03"/>
        </w:trPr>
        <w:tc>
          <w:tcPr>
            <w:tcW w:w="1300" w:type="dxa"/>
            <w:vAlign w:val="bottom"/>
            <w:tcBorders>
              <w:bottom w:val="single" w:sz="8" w:color="CCEEFF"/>
            </w:tcBorders>
            <w:shd w:val="clear" w:color="auto" w:fill="CCEEFF"/>
          </w:tcPr>
          <w:p>
            <w:pPr>
              <w:jc w:val="center"/>
              <w:ind w:right="1"/>
              <w:spacing w:after="0" w:line="203" w:lineRule="exact"/>
              <w:rPr>
                <w:sz w:val="20"/>
                <w:szCs w:val="20"/>
                <w:color w:val="auto"/>
              </w:rPr>
            </w:pPr>
            <w:r>
              <w:rPr>
                <w:rFonts w:ascii="Arial" w:cs="Arial" w:eastAsia="Arial" w:hAnsi="Arial"/>
                <w:sz w:val="20"/>
                <w:szCs w:val="20"/>
                <w:color w:val="auto"/>
                <w:w w:val="92"/>
              </w:rPr>
              <w:t>99.3</w:t>
            </w:r>
          </w:p>
        </w:tc>
        <w:tc>
          <w:tcPr>
            <w:tcW w:w="8820" w:type="dxa"/>
            <w:vAlign w:val="bottom"/>
            <w:tcBorders>
              <w:bottom w:val="single" w:sz="8" w:color="0000FF"/>
            </w:tcBorders>
            <w:gridSpan w:val="6"/>
            <w:shd w:val="clear" w:color="auto" w:fill="CCEEFF"/>
          </w:tcPr>
          <w:p>
            <w:pPr>
              <w:spacing w:after="0" w:line="203" w:lineRule="exact"/>
              <w:rPr>
                <w:rFonts w:ascii="Arial" w:cs="Arial" w:eastAsia="Arial" w:hAnsi="Arial"/>
                <w:sz w:val="20"/>
                <w:szCs w:val="20"/>
                <w:color w:val="0000FF"/>
                <w:w w:val="90"/>
              </w:rPr>
            </w:pPr>
            <w:hyperlink r:id="rId449">
              <w:r>
                <w:rPr>
                  <w:rFonts w:ascii="Arial" w:cs="Arial" w:eastAsia="Arial" w:hAnsi="Arial"/>
                  <w:sz w:val="20"/>
                  <w:szCs w:val="20"/>
                  <w:color w:val="0000FF"/>
                  <w:w w:val="90"/>
                </w:rPr>
                <w:t>Terms and Conditions of Equity Awards to Consultants under the Scientific Games Corporation 2003 Incentive</w:t>
              </w:r>
            </w:hyperlink>
          </w:p>
        </w:tc>
        <w:tc>
          <w:tcPr>
            <w:tcW w:w="1120" w:type="dxa"/>
            <w:vAlign w:val="bottom"/>
            <w:tcBorders>
              <w:bottom w:val="single" w:sz="8" w:color="CCEEFF"/>
            </w:tcBorders>
            <w:gridSpan w:val="12"/>
            <w:shd w:val="clear" w:color="auto" w:fill="CCEEFF"/>
          </w:tcPr>
          <w:p>
            <w:pPr>
              <w:spacing w:after="0"/>
              <w:rPr>
                <w:sz w:val="17"/>
                <w:szCs w:val="17"/>
                <w:color w:val="auto"/>
              </w:rPr>
            </w:pPr>
          </w:p>
        </w:tc>
      </w:tr>
      <w:tr>
        <w:trPr>
          <w:trHeight w:val="169"/>
        </w:trPr>
        <w:tc>
          <w:tcPr>
            <w:tcW w:w="1300" w:type="dxa"/>
            <w:vAlign w:val="bottom"/>
            <w:shd w:val="clear" w:color="auto" w:fill="CCEEFF"/>
          </w:tcPr>
          <w:p>
            <w:pPr>
              <w:spacing w:after="0"/>
              <w:rPr>
                <w:sz w:val="14"/>
                <w:szCs w:val="14"/>
                <w:color w:val="auto"/>
              </w:rPr>
            </w:pPr>
          </w:p>
        </w:tc>
        <w:tc>
          <w:tcPr>
            <w:tcW w:w="9940" w:type="dxa"/>
            <w:vAlign w:val="bottom"/>
            <w:gridSpan w:val="18"/>
            <w:shd w:val="clear" w:color="auto" w:fill="CCEEFF"/>
          </w:tcPr>
          <w:p>
            <w:pPr>
              <w:spacing w:after="0" w:line="169" w:lineRule="exact"/>
              <w:rPr>
                <w:rFonts w:ascii="Arial" w:cs="Arial" w:eastAsia="Arial" w:hAnsi="Arial"/>
                <w:sz w:val="19"/>
                <w:szCs w:val="19"/>
                <w:color w:val="0000FF"/>
                <w:w w:val="95"/>
              </w:rPr>
            </w:pPr>
            <w:hyperlink r:id="rId449">
              <w:r>
                <w:rPr>
                  <w:rFonts w:ascii="Arial" w:cs="Arial" w:eastAsia="Arial" w:hAnsi="Arial"/>
                  <w:sz w:val="19"/>
                  <w:szCs w:val="19"/>
                  <w:color w:val="0000FF"/>
                  <w:w w:val="95"/>
                </w:rPr>
                <w:t>Compensation Plan (Amended and Restated June 12, 2019) (incorporated by reference to Exhibit 99.11 to Scientific Games</w:t>
              </w:r>
            </w:hyperlink>
          </w:p>
        </w:tc>
      </w:tr>
      <w:tr>
        <w:trPr>
          <w:trHeight w:val="190"/>
        </w:trPr>
        <w:tc>
          <w:tcPr>
            <w:tcW w:w="1300" w:type="dxa"/>
            <w:vAlign w:val="bottom"/>
            <w:tcBorders>
              <w:top w:val="single" w:sz="8" w:color="CCEEFF"/>
            </w:tcBorders>
            <w:shd w:val="clear" w:color="auto" w:fill="CCEEFF"/>
          </w:tcPr>
          <w:p>
            <w:pPr>
              <w:spacing w:after="0"/>
              <w:rPr>
                <w:sz w:val="16"/>
                <w:szCs w:val="16"/>
                <w:color w:val="auto"/>
              </w:rPr>
            </w:pPr>
          </w:p>
        </w:tc>
        <w:tc>
          <w:tcPr>
            <w:tcW w:w="9800" w:type="dxa"/>
            <w:vAlign w:val="bottom"/>
            <w:tcBorders>
              <w:top w:val="single" w:sz="8" w:color="0000FF"/>
            </w:tcBorders>
            <w:gridSpan w:val="14"/>
            <w:shd w:val="clear" w:color="auto" w:fill="CCEEFF"/>
          </w:tcPr>
          <w:p>
            <w:pPr>
              <w:spacing w:after="0" w:line="169" w:lineRule="exact"/>
              <w:rPr>
                <w:rFonts w:ascii="Arial" w:cs="Arial" w:eastAsia="Arial" w:hAnsi="Arial"/>
                <w:sz w:val="19"/>
                <w:szCs w:val="19"/>
                <w:color w:val="0000FF"/>
              </w:rPr>
            </w:pPr>
            <w:hyperlink r:id="rId449">
              <w:r>
                <w:rPr>
                  <w:rFonts w:ascii="Arial" w:cs="Arial" w:eastAsia="Arial" w:hAnsi="Arial"/>
                  <w:sz w:val="19"/>
                  <w:szCs w:val="19"/>
                  <w:color w:val="0000FF"/>
                </w:rPr>
                <w:t>Corporation’s Annual Report on Form 10-K for the year ended December 31, 2014).*</w:t>
              </w:r>
            </w:hyperlink>
          </w:p>
        </w:tc>
        <w:tc>
          <w:tcPr>
            <w:tcW w:w="140" w:type="dxa"/>
            <w:vAlign w:val="bottom"/>
            <w:tcBorders>
              <w:top w:val="single" w:sz="8" w:color="CCEEFF"/>
            </w:tcBorders>
            <w:gridSpan w:val="4"/>
            <w:shd w:val="clear" w:color="auto" w:fill="CCEEFF"/>
          </w:tcPr>
          <w:p>
            <w:pPr>
              <w:spacing w:after="0"/>
              <w:rPr>
                <w:sz w:val="16"/>
                <w:szCs w:val="16"/>
                <w:color w:val="auto"/>
              </w:rPr>
            </w:pPr>
          </w:p>
        </w:tc>
      </w:tr>
      <w:tr>
        <w:trPr>
          <w:trHeight w:val="203"/>
        </w:trPr>
        <w:tc>
          <w:tcPr>
            <w:tcW w:w="1300" w:type="dxa"/>
            <w:vAlign w:val="bottom"/>
            <w:tcBorders>
              <w:top w:val="single" w:sz="8" w:color="CCEE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280" w:type="dxa"/>
            <w:vAlign w:val="bottom"/>
            <w:tcBorders>
              <w:top w:val="single" w:sz="8" w:color="0000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02"/>
        </w:trPr>
        <w:tc>
          <w:tcPr>
            <w:tcW w:w="1300" w:type="dxa"/>
            <w:vAlign w:val="bottom"/>
            <w:shd w:val="clear" w:color="auto" w:fill="CCEEFF"/>
          </w:tcPr>
          <w:p>
            <w:pPr>
              <w:jc w:val="center"/>
              <w:ind w:right="1"/>
              <w:spacing w:after="0" w:line="203" w:lineRule="exact"/>
              <w:rPr>
                <w:sz w:val="20"/>
                <w:szCs w:val="20"/>
                <w:color w:val="auto"/>
              </w:rPr>
            </w:pPr>
            <w:r>
              <w:rPr>
                <w:rFonts w:ascii="Arial" w:cs="Arial" w:eastAsia="Arial" w:hAnsi="Arial"/>
                <w:sz w:val="20"/>
                <w:szCs w:val="20"/>
                <w:color w:val="auto"/>
                <w:w w:val="92"/>
              </w:rPr>
              <w:t>99.4</w:t>
            </w:r>
          </w:p>
        </w:tc>
        <w:tc>
          <w:tcPr>
            <w:tcW w:w="9940" w:type="dxa"/>
            <w:vAlign w:val="bottom"/>
            <w:gridSpan w:val="18"/>
            <w:shd w:val="clear" w:color="auto" w:fill="CCEEFF"/>
          </w:tcPr>
          <w:p>
            <w:pPr>
              <w:spacing w:after="0" w:line="203" w:lineRule="exact"/>
              <w:rPr>
                <w:rFonts w:ascii="Arial" w:cs="Arial" w:eastAsia="Arial" w:hAnsi="Arial"/>
                <w:sz w:val="20"/>
                <w:szCs w:val="20"/>
                <w:color w:val="0000FF"/>
                <w:w w:val="98"/>
              </w:rPr>
            </w:pPr>
            <w:hyperlink r:id="rId450">
              <w:r>
                <w:rPr>
                  <w:rFonts w:ascii="Arial" w:cs="Arial" w:eastAsia="Arial" w:hAnsi="Arial"/>
                  <w:sz w:val="20"/>
                  <w:szCs w:val="20"/>
                  <w:color w:val="0000FF"/>
                  <w:w w:val="98"/>
                </w:rPr>
                <w:t>Terms and Conditions of Equity Awards to Key Employees under the Scientific Games Corporation 2003 Incentive</w:t>
              </w:r>
            </w:hyperlink>
          </w:p>
        </w:tc>
      </w:tr>
      <w:tr>
        <w:trPr>
          <w:trHeight w:val="169"/>
        </w:trPr>
        <w:tc>
          <w:tcPr>
            <w:tcW w:w="1300" w:type="dxa"/>
            <w:vAlign w:val="bottom"/>
            <w:tcBorders>
              <w:top w:val="single" w:sz="8" w:color="CCEEFF"/>
              <w:bottom w:val="single" w:sz="8" w:color="CCEEFF"/>
            </w:tcBorders>
            <w:shd w:val="clear" w:color="auto" w:fill="CCEEFF"/>
          </w:tcPr>
          <w:p>
            <w:pPr>
              <w:spacing w:after="0"/>
              <w:rPr>
                <w:sz w:val="14"/>
                <w:szCs w:val="14"/>
                <w:color w:val="auto"/>
              </w:rPr>
            </w:pPr>
          </w:p>
        </w:tc>
        <w:tc>
          <w:tcPr>
            <w:tcW w:w="9140" w:type="dxa"/>
            <w:vAlign w:val="bottom"/>
            <w:tcBorders>
              <w:top w:val="single" w:sz="8" w:color="0000FF"/>
              <w:bottom w:val="single" w:sz="8" w:color="0000FF"/>
            </w:tcBorders>
            <w:gridSpan w:val="9"/>
            <w:shd w:val="clear" w:color="auto" w:fill="CCEEFF"/>
          </w:tcPr>
          <w:p>
            <w:pPr>
              <w:spacing w:after="0" w:line="169" w:lineRule="exact"/>
              <w:rPr>
                <w:rFonts w:ascii="Arial" w:cs="Arial" w:eastAsia="Arial" w:hAnsi="Arial"/>
                <w:sz w:val="19"/>
                <w:szCs w:val="19"/>
                <w:color w:val="0000FF"/>
                <w:w w:val="94"/>
              </w:rPr>
            </w:pPr>
            <w:hyperlink r:id="rId450">
              <w:r>
                <w:rPr>
                  <w:rFonts w:ascii="Arial" w:cs="Arial" w:eastAsia="Arial" w:hAnsi="Arial"/>
                  <w:sz w:val="19"/>
                  <w:szCs w:val="19"/>
                  <w:color w:val="0000FF"/>
                  <w:w w:val="94"/>
                </w:rPr>
                <w:t>Compensation Plan, for awards granted prior to 2021 (incorporated by reference to Exhibit 99.1 to Scientific Games</w:t>
              </w:r>
            </w:hyperlink>
          </w:p>
        </w:tc>
        <w:tc>
          <w:tcPr>
            <w:tcW w:w="60" w:type="dxa"/>
            <w:vAlign w:val="bottom"/>
            <w:tcBorders>
              <w:top w:val="single" w:sz="8" w:color="CCEEFF"/>
              <w:bottom w:val="single" w:sz="8" w:color="0000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gridSpan w:val="8"/>
            <w:shd w:val="clear" w:color="auto" w:fill="CCEEFF"/>
          </w:tcPr>
          <w:p>
            <w:pPr>
              <w:spacing w:after="0"/>
              <w:rPr>
                <w:sz w:val="14"/>
                <w:szCs w:val="14"/>
                <w:color w:val="auto"/>
              </w:rPr>
            </w:pPr>
          </w:p>
        </w:tc>
      </w:tr>
      <w:tr>
        <w:trPr>
          <w:trHeight w:val="190"/>
        </w:trPr>
        <w:tc>
          <w:tcPr>
            <w:tcW w:w="1300" w:type="dxa"/>
            <w:vAlign w:val="bottom"/>
            <w:shd w:val="clear" w:color="auto" w:fill="CCEEFF"/>
          </w:tcPr>
          <w:p>
            <w:pPr>
              <w:spacing w:after="0"/>
              <w:rPr>
                <w:sz w:val="16"/>
                <w:szCs w:val="16"/>
                <w:color w:val="auto"/>
              </w:rPr>
            </w:pPr>
          </w:p>
        </w:tc>
        <w:tc>
          <w:tcPr>
            <w:tcW w:w="9200" w:type="dxa"/>
            <w:vAlign w:val="bottom"/>
            <w:gridSpan w:val="10"/>
            <w:shd w:val="clear" w:color="auto" w:fill="CCEEFF"/>
          </w:tcPr>
          <w:p>
            <w:pPr>
              <w:spacing w:after="0" w:line="169" w:lineRule="exact"/>
              <w:rPr>
                <w:rFonts w:ascii="Arial" w:cs="Arial" w:eastAsia="Arial" w:hAnsi="Arial"/>
                <w:sz w:val="19"/>
                <w:szCs w:val="19"/>
                <w:color w:val="0000FF"/>
              </w:rPr>
            </w:pPr>
            <w:hyperlink r:id="rId450">
              <w:r>
                <w:rPr>
                  <w:rFonts w:ascii="Arial" w:cs="Arial" w:eastAsia="Arial" w:hAnsi="Arial"/>
                  <w:sz w:val="19"/>
                  <w:szCs w:val="19"/>
                  <w:color w:val="0000FF"/>
                </w:rPr>
                <w:t>Corporation’s Quarterly Report on Form 10-Q for the quarter ended March 30, 2018).*</w:t>
              </w:r>
            </w:hyperlink>
          </w:p>
        </w:tc>
        <w:tc>
          <w:tcPr>
            <w:tcW w:w="740" w:type="dxa"/>
            <w:vAlign w:val="bottom"/>
            <w:gridSpan w:val="8"/>
            <w:shd w:val="clear" w:color="auto" w:fill="CCEEFF"/>
          </w:tcPr>
          <w:p>
            <w:pPr>
              <w:spacing w:after="0"/>
              <w:rPr>
                <w:sz w:val="16"/>
                <w:szCs w:val="16"/>
                <w:color w:val="auto"/>
              </w:rPr>
            </w:pPr>
          </w:p>
        </w:tc>
      </w:tr>
      <w:tr>
        <w:trPr>
          <w:trHeight w:val="203"/>
        </w:trPr>
        <w:tc>
          <w:tcPr>
            <w:tcW w:w="1300" w:type="dxa"/>
            <w:vAlign w:val="bottom"/>
            <w:tcBorders>
              <w:top w:val="single" w:sz="8" w:color="CCEE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223"/>
        </w:trPr>
        <w:tc>
          <w:tcPr>
            <w:tcW w:w="1300" w:type="dxa"/>
            <w:vAlign w:val="bottom"/>
            <w:shd w:val="clear" w:color="auto" w:fill="CCEEFF"/>
          </w:tcPr>
          <w:p>
            <w:pPr>
              <w:jc w:val="center"/>
              <w:ind w:right="1"/>
              <w:spacing w:after="0" w:line="203" w:lineRule="exact"/>
              <w:rPr>
                <w:sz w:val="20"/>
                <w:szCs w:val="20"/>
                <w:color w:val="auto"/>
              </w:rPr>
            </w:pPr>
            <w:r>
              <w:rPr>
                <w:rFonts w:ascii="Arial" w:cs="Arial" w:eastAsia="Arial" w:hAnsi="Arial"/>
                <w:sz w:val="20"/>
                <w:szCs w:val="20"/>
                <w:color w:val="auto"/>
                <w:w w:val="92"/>
              </w:rPr>
              <w:t>99.5</w:t>
            </w:r>
          </w:p>
        </w:tc>
        <w:tc>
          <w:tcPr>
            <w:tcW w:w="9940" w:type="dxa"/>
            <w:vAlign w:val="bottom"/>
            <w:gridSpan w:val="18"/>
            <w:shd w:val="clear" w:color="auto" w:fill="CCEEFF"/>
          </w:tcPr>
          <w:p>
            <w:pPr>
              <w:spacing w:after="0" w:line="203" w:lineRule="exact"/>
              <w:rPr>
                <w:rFonts w:ascii="Arial" w:cs="Arial" w:eastAsia="Arial" w:hAnsi="Arial"/>
                <w:sz w:val="20"/>
                <w:szCs w:val="20"/>
                <w:color w:val="0000FF"/>
              </w:rPr>
            </w:pPr>
            <w:hyperlink w:anchor="page214">
              <w:r>
                <w:rPr>
                  <w:rFonts w:ascii="Arial" w:cs="Arial" w:eastAsia="Arial" w:hAnsi="Arial"/>
                  <w:sz w:val="20"/>
                  <w:szCs w:val="20"/>
                  <w:color w:val="0000FF"/>
                </w:rPr>
                <w:t>Gaming Regulations.(†)</w:t>
              </w:r>
            </w:hyperlink>
          </w:p>
        </w:tc>
      </w:tr>
      <w:tr>
        <w:trPr>
          <w:trHeight w:val="203"/>
        </w:trPr>
        <w:tc>
          <w:tcPr>
            <w:tcW w:w="1300" w:type="dxa"/>
            <w:vAlign w:val="bottom"/>
            <w:tcBorders>
              <w:top w:val="single" w:sz="8" w:color="CCEE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89"/>
        </w:trPr>
        <w:tc>
          <w:tcPr>
            <w:tcW w:w="1300" w:type="dxa"/>
            <w:vAlign w:val="bottom"/>
            <w:shd w:val="clear" w:color="auto" w:fill="CCEEFF"/>
          </w:tcPr>
          <w:p>
            <w:pPr>
              <w:jc w:val="center"/>
              <w:ind w:right="1"/>
              <w:spacing w:after="0" w:line="189" w:lineRule="exact"/>
              <w:rPr>
                <w:sz w:val="20"/>
                <w:szCs w:val="20"/>
                <w:color w:val="auto"/>
              </w:rPr>
            </w:pPr>
            <w:r>
              <w:rPr>
                <w:rFonts w:ascii="Arial" w:cs="Arial" w:eastAsia="Arial" w:hAnsi="Arial"/>
                <w:sz w:val="20"/>
                <w:szCs w:val="20"/>
                <w:color w:val="auto"/>
                <w:w w:val="94"/>
              </w:rPr>
              <w:t>101.INS</w:t>
            </w:r>
          </w:p>
        </w:tc>
        <w:tc>
          <w:tcPr>
            <w:tcW w:w="9940" w:type="dxa"/>
            <w:vAlign w:val="bottom"/>
            <w:gridSpan w:val="18"/>
            <w:shd w:val="clear" w:color="auto" w:fill="CCEEFF"/>
          </w:tcPr>
          <w:p>
            <w:pPr>
              <w:spacing w:after="0" w:line="189" w:lineRule="exact"/>
              <w:rPr>
                <w:sz w:val="20"/>
                <w:szCs w:val="20"/>
                <w:color w:val="auto"/>
              </w:rPr>
            </w:pPr>
            <w:r>
              <w:rPr>
                <w:rFonts w:ascii="Arial" w:cs="Arial" w:eastAsia="Arial" w:hAnsi="Arial"/>
                <w:sz w:val="20"/>
                <w:szCs w:val="20"/>
                <w:color w:val="auto"/>
                <w:w w:val="90"/>
              </w:rPr>
              <w:t>Inline XBRL Instance Document - the instance document does not appear in the Interactive Data File because its XBRL tags</w:t>
            </w:r>
          </w:p>
        </w:tc>
      </w:tr>
      <w:tr>
        <w:trPr>
          <w:trHeight w:val="243"/>
        </w:trPr>
        <w:tc>
          <w:tcPr>
            <w:tcW w:w="1300" w:type="dxa"/>
            <w:vAlign w:val="bottom"/>
            <w:shd w:val="clear" w:color="auto" w:fill="CCEEFF"/>
          </w:tcPr>
          <w:p>
            <w:pPr>
              <w:spacing w:after="0"/>
              <w:rPr>
                <w:sz w:val="21"/>
                <w:szCs w:val="21"/>
                <w:color w:val="auto"/>
              </w:rPr>
            </w:pPr>
          </w:p>
        </w:tc>
        <w:tc>
          <w:tcPr>
            <w:tcW w:w="9940" w:type="dxa"/>
            <w:vAlign w:val="bottom"/>
            <w:gridSpan w:val="18"/>
            <w:shd w:val="clear" w:color="auto" w:fill="CCEEFF"/>
          </w:tcPr>
          <w:p>
            <w:pPr>
              <w:spacing w:after="0"/>
              <w:rPr>
                <w:sz w:val="20"/>
                <w:szCs w:val="20"/>
                <w:color w:val="auto"/>
              </w:rPr>
            </w:pPr>
            <w:r>
              <w:rPr>
                <w:rFonts w:ascii="Arial" w:cs="Arial" w:eastAsia="Arial" w:hAnsi="Arial"/>
                <w:sz w:val="20"/>
                <w:szCs w:val="20"/>
                <w:color w:val="auto"/>
              </w:rPr>
              <w:t>are embedded within the Inline XBRL document</w:t>
            </w:r>
          </w:p>
        </w:tc>
      </w:tr>
      <w:tr>
        <w:trPr>
          <w:trHeight w:val="203"/>
        </w:trPr>
        <w:tc>
          <w:tcPr>
            <w:tcW w:w="1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1300" w:type="dxa"/>
            <w:vAlign w:val="bottom"/>
            <w:shd w:val="clear" w:color="auto" w:fill="CCEEFF"/>
          </w:tcPr>
          <w:p>
            <w:pPr>
              <w:jc w:val="center"/>
              <w:ind w:right="1"/>
              <w:spacing w:after="0"/>
              <w:rPr>
                <w:sz w:val="20"/>
                <w:szCs w:val="20"/>
                <w:color w:val="auto"/>
              </w:rPr>
            </w:pPr>
            <w:r>
              <w:rPr>
                <w:rFonts w:ascii="Arial" w:cs="Arial" w:eastAsia="Arial" w:hAnsi="Arial"/>
                <w:sz w:val="20"/>
                <w:szCs w:val="20"/>
                <w:color w:val="auto"/>
                <w:w w:val="88"/>
              </w:rPr>
              <w:t>101.SCH</w:t>
            </w:r>
          </w:p>
        </w:tc>
        <w:tc>
          <w:tcPr>
            <w:tcW w:w="9940" w:type="dxa"/>
            <w:vAlign w:val="bottom"/>
            <w:gridSpan w:val="18"/>
            <w:shd w:val="clear" w:color="auto" w:fill="CCEEFF"/>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203"/>
        </w:trPr>
        <w:tc>
          <w:tcPr>
            <w:tcW w:w="1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13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5"/>
              </w:rPr>
              <w:t>101.CAL</w:t>
            </w:r>
          </w:p>
        </w:tc>
        <w:tc>
          <w:tcPr>
            <w:tcW w:w="9940" w:type="dxa"/>
            <w:vAlign w:val="bottom"/>
            <w:gridSpan w:val="18"/>
            <w:shd w:val="clear" w:color="auto" w:fill="CCEEFF"/>
          </w:tcPr>
          <w:p>
            <w:pPr>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203"/>
        </w:trPr>
        <w:tc>
          <w:tcPr>
            <w:tcW w:w="1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1300" w:type="dxa"/>
            <w:vAlign w:val="bottom"/>
            <w:shd w:val="clear" w:color="auto" w:fill="CCEEFF"/>
          </w:tcPr>
          <w:p>
            <w:pPr>
              <w:jc w:val="center"/>
              <w:ind w:right="1"/>
              <w:spacing w:after="0"/>
              <w:rPr>
                <w:sz w:val="20"/>
                <w:szCs w:val="20"/>
                <w:color w:val="auto"/>
              </w:rPr>
            </w:pPr>
            <w:r>
              <w:rPr>
                <w:rFonts w:ascii="Arial" w:cs="Arial" w:eastAsia="Arial" w:hAnsi="Arial"/>
                <w:sz w:val="20"/>
                <w:szCs w:val="20"/>
                <w:color w:val="auto"/>
                <w:w w:val="91"/>
              </w:rPr>
              <w:t>101.DEF</w:t>
            </w:r>
          </w:p>
        </w:tc>
        <w:tc>
          <w:tcPr>
            <w:tcW w:w="9940" w:type="dxa"/>
            <w:vAlign w:val="bottom"/>
            <w:gridSpan w:val="18"/>
            <w:shd w:val="clear" w:color="auto" w:fill="CCEEFF"/>
          </w:tcPr>
          <w:p>
            <w:pPr>
              <w:spacing w:after="0"/>
              <w:rPr>
                <w:sz w:val="20"/>
                <w:szCs w:val="20"/>
                <w:color w:val="auto"/>
              </w:rPr>
            </w:pPr>
            <w:r>
              <w:rPr>
                <w:rFonts w:ascii="Arial" w:cs="Arial" w:eastAsia="Arial" w:hAnsi="Arial"/>
                <w:sz w:val="20"/>
                <w:szCs w:val="20"/>
                <w:color w:val="auto"/>
              </w:rPr>
              <w:t>Inline XBRL Taxonomy Extension Definition Label Linkbase Document</w:t>
            </w:r>
          </w:p>
        </w:tc>
      </w:tr>
      <w:tr>
        <w:trPr>
          <w:trHeight w:val="203"/>
        </w:trPr>
        <w:tc>
          <w:tcPr>
            <w:tcW w:w="1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13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6"/>
              </w:rPr>
              <w:t>101.LAB</w:t>
            </w:r>
          </w:p>
        </w:tc>
        <w:tc>
          <w:tcPr>
            <w:tcW w:w="9940" w:type="dxa"/>
            <w:vAlign w:val="bottom"/>
            <w:gridSpan w:val="18"/>
            <w:shd w:val="clear" w:color="auto" w:fill="CCEEFF"/>
          </w:tcPr>
          <w:p>
            <w:pPr>
              <w:spacing w:after="0"/>
              <w:rPr>
                <w:sz w:val="20"/>
                <w:szCs w:val="20"/>
                <w:color w:val="auto"/>
              </w:rPr>
            </w:pPr>
            <w:r>
              <w:rPr>
                <w:rFonts w:ascii="Arial" w:cs="Arial" w:eastAsia="Arial" w:hAnsi="Arial"/>
                <w:sz w:val="20"/>
                <w:szCs w:val="20"/>
                <w:color w:val="auto"/>
              </w:rPr>
              <w:t>Inline XBRL Taxonomy Extension Label Linkbase Document</w:t>
            </w:r>
          </w:p>
        </w:tc>
      </w:tr>
      <w:tr>
        <w:trPr>
          <w:trHeight w:val="203"/>
        </w:trPr>
        <w:tc>
          <w:tcPr>
            <w:tcW w:w="1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1300" w:type="dxa"/>
            <w:vAlign w:val="bottom"/>
            <w:shd w:val="clear" w:color="auto" w:fill="CCEEFF"/>
          </w:tcPr>
          <w:p>
            <w:pPr>
              <w:jc w:val="center"/>
              <w:ind w:right="1"/>
              <w:spacing w:after="0"/>
              <w:rPr>
                <w:sz w:val="20"/>
                <w:szCs w:val="20"/>
                <w:color w:val="auto"/>
              </w:rPr>
            </w:pPr>
            <w:r>
              <w:rPr>
                <w:rFonts w:ascii="Arial" w:cs="Arial" w:eastAsia="Arial" w:hAnsi="Arial"/>
                <w:sz w:val="20"/>
                <w:szCs w:val="20"/>
                <w:color w:val="auto"/>
                <w:w w:val="89"/>
              </w:rPr>
              <w:t>101.PRE</w:t>
            </w:r>
          </w:p>
        </w:tc>
        <w:tc>
          <w:tcPr>
            <w:tcW w:w="9940" w:type="dxa"/>
            <w:vAlign w:val="bottom"/>
            <w:gridSpan w:val="18"/>
            <w:shd w:val="clear" w:color="auto" w:fill="CCEEFF"/>
          </w:tcPr>
          <w:p>
            <w:pPr>
              <w:spacing w:after="0"/>
              <w:rPr>
                <w:sz w:val="20"/>
                <w:szCs w:val="20"/>
                <w:color w:val="auto"/>
              </w:rPr>
            </w:pPr>
            <w:r>
              <w:rPr>
                <w:rFonts w:ascii="Arial" w:cs="Arial" w:eastAsia="Arial" w:hAnsi="Arial"/>
                <w:sz w:val="20"/>
                <w:szCs w:val="20"/>
                <w:color w:val="auto"/>
              </w:rPr>
              <w:t>Inline XBRL Taxonomy Extension Presentation Linkbase Document</w:t>
            </w:r>
          </w:p>
        </w:tc>
      </w:tr>
    </w:tbl>
    <w:p>
      <w:pPr>
        <w:spacing w:after="0" w:line="199" w:lineRule="exact"/>
        <w:rPr>
          <w:sz w:val="20"/>
          <w:szCs w:val="20"/>
          <w:color w:val="auto"/>
        </w:rPr>
      </w:pPr>
    </w:p>
    <w:p>
      <w:pPr>
        <w:ind w:left="1300" w:right="80" w:hanging="847"/>
        <w:spacing w:after="0" w:line="229" w:lineRule="auto"/>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743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5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11" w:lineRule="exact"/>
        <w:rPr>
          <w:sz w:val="20"/>
          <w:szCs w:val="20"/>
          <w:color w:val="auto"/>
        </w:rPr>
      </w:pPr>
    </w:p>
    <w:p>
      <w:pPr>
        <w:ind w:left="800" w:hanging="144"/>
        <w:spacing w:after="0"/>
        <w:tabs>
          <w:tab w:leader="none" w:pos="8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Management contracts and compensation plans and arrangements in which directors and/or executive officers are eligible to participate.</w:t>
      </w:r>
    </w:p>
    <w:p>
      <w:pPr>
        <w:spacing w:after="0" w:line="15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15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spacing w:after="0" w:line="301" w:lineRule="auto"/>
        <w:rPr>
          <w:sz w:val="20"/>
          <w:szCs w:val="20"/>
          <w:color w:val="auto"/>
        </w:rPr>
      </w:pPr>
      <w:r>
        <w:rPr>
          <w:rFonts w:ascii="Arial" w:cs="Arial" w:eastAsia="Arial" w:hAnsi="Arial"/>
          <w:sz w:val="16"/>
          <w:szCs w:val="16"/>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8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895" w:right="819" w:bottom="1440" w:gutter="0" w:footer="0" w:header="0"/>
        </w:sectPr>
      </w:pPr>
    </w:p>
    <w:bookmarkStart w:id="148" w:name="page149"/>
    <w:bookmarkEnd w:id="148"/>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160"/>
          </w:cols>
          <w:pgMar w:left="320" w:top="891" w:right="419" w:bottom="1440" w:gutter="0" w:footer="0" w:header="0"/>
        </w:sectPr>
      </w:pPr>
    </w:p>
    <w:p>
      <w:pPr>
        <w:spacing w:after="0" w:line="278"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March 1, 2022</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SCIENTIFIC GAMES CORPORATION</w:t>
      </w:r>
    </w:p>
    <w:p>
      <w:pPr>
        <w:spacing w:after="0" w:line="198" w:lineRule="exact"/>
        <w:rPr>
          <w:sz w:val="20"/>
          <w:szCs w:val="20"/>
          <w:color w:val="auto"/>
        </w:rPr>
      </w:pPr>
    </w:p>
    <w:p>
      <w:pPr>
        <w:jc w:val="center"/>
        <w:ind w:left="-359"/>
        <w:spacing w:after="0"/>
        <w:rPr>
          <w:sz w:val="20"/>
          <w:szCs w:val="20"/>
          <w:color w:val="auto"/>
        </w:rPr>
      </w:pPr>
      <w:r>
        <w:rPr>
          <w:rFonts w:ascii="Arial" w:cs="Arial" w:eastAsia="Arial" w:hAnsi="Arial"/>
          <w:sz w:val="18"/>
          <w:szCs w:val="18"/>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14605</wp:posOffset>
            </wp:positionV>
            <wp:extent cx="357441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5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jc w:val="center"/>
        <w:ind w:left="-359"/>
        <w:spacing w:after="0"/>
        <w:rPr>
          <w:sz w:val="20"/>
          <w:szCs w:val="20"/>
          <w:color w:val="auto"/>
        </w:rPr>
      </w:pPr>
      <w:r>
        <w:rPr>
          <w:rFonts w:ascii="Arial" w:cs="Arial" w:eastAsia="Arial" w:hAnsi="Arial"/>
          <w:sz w:val="18"/>
          <w:szCs w:val="18"/>
          <w:color w:val="auto"/>
        </w:rPr>
        <w:t>Constance P. James,</w:t>
      </w:r>
    </w:p>
    <w:p>
      <w:pPr>
        <w:ind w:left="940" w:right="160" w:hanging="1754"/>
        <w:spacing w:after="0" w:line="235" w:lineRule="auto"/>
        <w:tabs>
          <w:tab w:leader="none" w:pos="920" w:val="left"/>
        </w:tabs>
        <w:rPr>
          <w:sz w:val="20"/>
          <w:szCs w:val="20"/>
          <w:color w:val="auto"/>
        </w:rPr>
      </w:pPr>
      <w:r>
        <w:rPr>
          <w:rFonts w:ascii="Arial" w:cs="Arial" w:eastAsia="Arial" w:hAnsi="Arial"/>
          <w:sz w:val="35"/>
          <w:szCs w:val="35"/>
          <w:color w:val="auto"/>
          <w:vertAlign w:val="superscript"/>
        </w:rPr>
        <w:t>By:</w:t>
      </w:r>
      <w:r>
        <w:rPr>
          <w:sz w:val="20"/>
          <w:szCs w:val="20"/>
          <w:color w:val="auto"/>
        </w:rPr>
        <w:tab/>
      </w:r>
      <w:r>
        <w:rPr>
          <w:rFonts w:ascii="Arial" w:cs="Arial" w:eastAsia="Arial" w:hAnsi="Arial"/>
          <w:sz w:val="18"/>
          <w:szCs w:val="18"/>
          <w:i w:val="1"/>
          <w:iCs w:val="1"/>
          <w:color w:val="auto"/>
        </w:rPr>
        <w:t>Executive Vice President, Chief Financial Officer, Treasurer, Corporate Secretary, and Principal Accounting Officer</w:t>
      </w:r>
    </w:p>
    <w:p>
      <w:pPr>
        <w:spacing w:after="0" w:line="154" w:lineRule="exact"/>
        <w:rPr>
          <w:sz w:val="20"/>
          <w:szCs w:val="20"/>
          <w:color w:val="auto"/>
        </w:rPr>
      </w:pPr>
    </w:p>
    <w:p>
      <w:pPr>
        <w:sectPr>
          <w:pgSz w:w="11900" w:h="16838" w:orient="portrait"/>
          <w:cols w:equalWidth="0" w:num="2">
            <w:col w:w="4200" w:space="720"/>
            <w:col w:w="6240"/>
          </w:cols>
          <w:pgMar w:left="320" w:top="891" w:right="419" w:bottom="1440" w:gutter="0" w:footer="0" w:header="0"/>
          <w:type w:val="continuous"/>
        </w:sect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 2022.</w:t>
      </w:r>
    </w:p>
    <w:p>
      <w:pPr>
        <w:sectPr>
          <w:pgSz w:w="11900" w:h="16838" w:orient="portrait"/>
          <w:cols w:equalWidth="0" w:num="1">
            <w:col w:w="11160"/>
          </w:cols>
          <w:pgMar w:left="320" w:top="891" w:right="41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31203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5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9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Barry L. Cottle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5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Barry L. Cottle</w:t>
      </w:r>
    </w:p>
    <w:p>
      <w:pPr>
        <w:spacing w:after="0" w:line="320"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5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Constance P. James</w:t>
      </w:r>
    </w:p>
    <w:p>
      <w:pPr>
        <w:spacing w:after="0" w:line="320"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Jamie R. Odell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5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Jamie R. Odell</w:t>
      </w:r>
    </w:p>
    <w:p>
      <w:pPr>
        <w:spacing w:after="0" w:line="27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Antonia Korsanos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59">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Antonia Korsanos</w:t>
      </w: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Hamish McLennan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6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Hamish McLennan</w:t>
      </w: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Virginia E. Shanks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61">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Virginia E. Shanks</w:t>
      </w: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Michael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62">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Michael J. Regan</w:t>
      </w: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Timothy Throsby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63">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Timothy Throsby</w:t>
      </w: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Maria T. Vullo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6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Maria T. Vullo</w:t>
      </w: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/s/ Kneeland C. Youngblood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31203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65">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66"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Kneeland C. Youngblood</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20320</wp:posOffset>
            </wp:positionV>
            <wp:extent cx="37115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66">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 and Director (principal executive officer)</w:t>
      </w:r>
    </w:p>
    <w:p>
      <w:pPr>
        <w:spacing w:after="0" w:line="200" w:lineRule="exact"/>
        <w:rPr>
          <w:sz w:val="20"/>
          <w:szCs w:val="20"/>
          <w:color w:val="auto"/>
        </w:rPr>
      </w:pPr>
    </w:p>
    <w:p>
      <w:pPr>
        <w:spacing w:after="0" w:line="332"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auto"/>
        </w:rPr>
        <w:t>Executive Vice President, Chief Financial Officer, Treasurer and Corporate Secretary (principal financial officer and principal accounting officer)</w:t>
      </w:r>
    </w:p>
    <w:p>
      <w:pPr>
        <w:spacing w:after="0" w:line="200" w:lineRule="exact"/>
        <w:rPr>
          <w:sz w:val="20"/>
          <w:szCs w:val="20"/>
          <w:color w:val="auto"/>
        </w:rPr>
      </w:pPr>
    </w:p>
    <w:p>
      <w:pPr>
        <w:spacing w:after="0" w:line="234" w:lineRule="exact"/>
        <w:rPr>
          <w:sz w:val="20"/>
          <w:szCs w:val="20"/>
          <w:color w:val="auto"/>
        </w:rPr>
      </w:pPr>
    </w:p>
    <w:p>
      <w:pPr>
        <w:jc w:val="center"/>
        <w:ind w:right="1800"/>
        <w:spacing w:after="0"/>
        <w:rPr>
          <w:sz w:val="20"/>
          <w:szCs w:val="20"/>
          <w:color w:val="auto"/>
        </w:rPr>
      </w:pPr>
      <w:r>
        <w:rPr>
          <w:rFonts w:ascii="Arial" w:cs="Arial" w:eastAsia="Arial" w:hAnsi="Arial"/>
          <w:sz w:val="16"/>
          <w:szCs w:val="16"/>
          <w:color w:val="auto"/>
        </w:rPr>
        <w:t>Executive Chair of the Board of Directors and Director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Chair of the Board of Directors and 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2" w:lineRule="exact"/>
        <w:rPr>
          <w:sz w:val="20"/>
          <w:szCs w:val="20"/>
          <w:color w:val="auto"/>
        </w:rPr>
      </w:pPr>
    </w:p>
    <w:p>
      <w:pPr>
        <w:sectPr>
          <w:pgSz w:w="11900" w:h="16838" w:orient="portrait"/>
          <w:cols w:equalWidth="0" w:num="2">
            <w:col w:w="4680" w:space="720"/>
            <w:col w:w="5760"/>
          </w:cols>
          <w:pgMar w:left="320" w:top="891" w:right="41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160"/>
          </w:cols>
          <w:pgMar w:left="320" w:top="891" w:right="419" w:bottom="1440" w:gutter="0" w:footer="0" w:header="0"/>
          <w:type w:val="continuous"/>
        </w:sectPr>
      </w:pPr>
    </w:p>
    <w:bookmarkStart w:id="149" w:name="page150"/>
    <w:bookmarkEnd w:id="149"/>
    <w:p>
      <w:pPr>
        <w:jc w:val="right"/>
        <w:spacing w:after="0"/>
        <w:rPr>
          <w:sz w:val="20"/>
          <w:szCs w:val="20"/>
          <w:color w:val="auto"/>
        </w:rPr>
      </w:pPr>
      <w:r>
        <w:rPr>
          <w:rFonts w:ascii="Arial" w:cs="Arial" w:eastAsia="Arial" w:hAnsi="Arial"/>
          <w:sz w:val="20"/>
          <w:szCs w:val="20"/>
          <w:b w:val="1"/>
          <w:bCs w:val="1"/>
          <w:color w:val="auto"/>
        </w:rPr>
        <w:t>Exhibit 4.63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firstLine="1296"/>
        <w:spacing w:after="0" w:line="213" w:lineRule="auto"/>
        <w:rPr>
          <w:sz w:val="20"/>
          <w:szCs w:val="20"/>
          <w:color w:val="auto"/>
        </w:rPr>
      </w:pPr>
      <w:r>
        <w:rPr>
          <w:rFonts w:ascii="Arial" w:cs="Arial" w:eastAsia="Arial" w:hAnsi="Arial"/>
          <w:sz w:val="20"/>
          <w:szCs w:val="20"/>
          <w:color w:val="auto"/>
        </w:rPr>
        <w:t>SUPPLEMENTAL INDENTURE, dated as of October 19, 2021 (this “Supplemental Indenture”), by and among Scientific Games International, Inc., a Delaware corporation (the “Company”), the Guarantors (as defined in the indenture referred to herein), SGP Holdco, Inc., a Delaware corporation (the “Additional Guarantor”), and Deutsche Bank Trust Company Americas, a New York banking corporation, as trustee and collateral agent (the “Trustee”).</w:t>
      </w:r>
    </w:p>
    <w:p>
      <w:pPr>
        <w:spacing w:after="0" w:line="156" w:lineRule="exact"/>
        <w:rPr>
          <w:sz w:val="20"/>
          <w:szCs w:val="20"/>
          <w:color w:val="auto"/>
        </w:rPr>
      </w:pPr>
    </w:p>
    <w:p>
      <w:pPr>
        <w:ind w:right="200" w:firstLine="1296"/>
        <w:spacing w:after="0" w:line="242" w:lineRule="auto"/>
        <w:rPr>
          <w:sz w:val="20"/>
          <w:szCs w:val="20"/>
          <w:color w:val="auto"/>
        </w:rPr>
      </w:pPr>
      <w:r>
        <w:rPr>
          <w:rFonts w:ascii="Arial" w:cs="Arial" w:eastAsia="Arial" w:hAnsi="Arial"/>
          <w:sz w:val="19"/>
          <w:szCs w:val="19"/>
          <w:color w:val="auto"/>
        </w:rPr>
        <w:t>WHEREAS, the Company, the original Guarantors and the Trustee executed an Indenture, dated as of October 17, 2017, as amended and supplemented (the “Indenture”), relating to the Company’s 5.000% Senior Secured Notes due 2025;</w:t>
      </w:r>
    </w:p>
    <w:p>
      <w:pPr>
        <w:spacing w:after="0" w:line="153" w:lineRule="exact"/>
        <w:rPr>
          <w:sz w:val="20"/>
          <w:szCs w:val="20"/>
          <w:color w:val="auto"/>
        </w:rPr>
      </w:pPr>
    </w:p>
    <w:p>
      <w:pPr>
        <w:ind w:right="80" w:firstLine="1296"/>
        <w:spacing w:after="0" w:line="218" w:lineRule="auto"/>
        <w:rPr>
          <w:sz w:val="20"/>
          <w:szCs w:val="20"/>
          <w:color w:val="auto"/>
        </w:rPr>
      </w:pPr>
      <w:r>
        <w:rPr>
          <w:rFonts w:ascii="Arial" w:cs="Arial" w:eastAsia="Arial" w:hAnsi="Arial"/>
          <w:sz w:val="20"/>
          <w:szCs w:val="20"/>
          <w:color w:val="auto"/>
        </w:rPr>
        <w:t>WHEREAS, under certain circumstances, Section 10.17 of the Indenture requires the Company to cause each of the Company’s Restricted Subsidiaries to execute and deliver to the Trustee a supplemental indenture and thereby become a Guarantor bound by the Guarantee of the Securities on the terms set forth in Article Ten of the Indenture;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w:t>
      </w:r>
    </w:p>
    <w:p>
      <w:pPr>
        <w:spacing w:after="0"/>
        <w:rPr>
          <w:sz w:val="20"/>
          <w:szCs w:val="20"/>
          <w:color w:val="auto"/>
        </w:rPr>
      </w:pPr>
      <w:r>
        <w:rPr>
          <w:rFonts w:ascii="Arial" w:cs="Arial" w:eastAsia="Arial" w:hAnsi="Arial"/>
          <w:sz w:val="20"/>
          <w:szCs w:val="20"/>
          <w:color w:val="auto"/>
        </w:rPr>
        <w:t>Indenture; and</w:t>
      </w:r>
    </w:p>
    <w:p>
      <w:pPr>
        <w:spacing w:after="0" w:line="159" w:lineRule="exact"/>
        <w:rPr>
          <w:sz w:val="20"/>
          <w:szCs w:val="20"/>
          <w:color w:val="auto"/>
        </w:rPr>
      </w:pPr>
    </w:p>
    <w:p>
      <w:pPr>
        <w:ind w:right="120" w:firstLine="1296"/>
        <w:spacing w:after="0" w:line="229" w:lineRule="auto"/>
        <w:rPr>
          <w:sz w:val="20"/>
          <w:szCs w:val="20"/>
          <w:color w:val="auto"/>
        </w:rPr>
      </w:pPr>
      <w:r>
        <w:rPr>
          <w:rFonts w:ascii="Arial" w:cs="Arial" w:eastAsia="Arial" w:hAnsi="Arial"/>
          <w:sz w:val="20"/>
          <w:szCs w:val="20"/>
          <w:color w:val="auto"/>
        </w:rPr>
        <w:t>WHEREAS, except as otherwise defined herein in this Supplemental Indenture, capitalized terms used in this Supplemental Indenture have the meanings specified in the Indenture;</w:t>
      </w:r>
    </w:p>
    <w:p>
      <w:pPr>
        <w:spacing w:after="0" w:line="155" w:lineRule="exact"/>
        <w:rPr>
          <w:sz w:val="20"/>
          <w:szCs w:val="20"/>
          <w:color w:val="auto"/>
        </w:rPr>
      </w:pPr>
    </w:p>
    <w:p>
      <w:pPr>
        <w:ind w:right="240" w:firstLine="1296"/>
        <w:spacing w:after="0" w:line="229" w:lineRule="auto"/>
        <w:rPr>
          <w:sz w:val="20"/>
          <w:szCs w:val="20"/>
          <w:color w:val="auto"/>
        </w:rPr>
      </w:pPr>
      <w:r>
        <w:rPr>
          <w:rFonts w:ascii="Arial" w:cs="Arial" w:eastAsia="Arial" w:hAnsi="Arial"/>
          <w:sz w:val="20"/>
          <w:szCs w:val="20"/>
          <w:color w:val="auto"/>
        </w:rPr>
        <w:t>NOW, THEREFORE, in consideration of the above premises, each party agrees, for the benefit of the other parties and for the equal and ratable benefit of the Holders of the Securities, as follows:</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ONE</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AMENDMENT</w:t>
      </w:r>
    </w:p>
    <w:p>
      <w:pPr>
        <w:spacing w:after="0" w:line="175" w:lineRule="exact"/>
        <w:rPr>
          <w:sz w:val="20"/>
          <w:szCs w:val="20"/>
          <w:color w:val="auto"/>
        </w:rPr>
      </w:pPr>
    </w:p>
    <w:p>
      <w:pPr>
        <w:ind w:right="160" w:firstLine="1296"/>
        <w:spacing w:after="0" w:line="229"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Amendment</w:t>
      </w:r>
      <w:r>
        <w:rPr>
          <w:rFonts w:ascii="Arial" w:cs="Arial" w:eastAsia="Arial" w:hAnsi="Arial"/>
          <w:sz w:val="20"/>
          <w:szCs w:val="20"/>
          <w:color w:val="auto"/>
        </w:rPr>
        <w:t>. The Additional Guarantor hereby agrees to become a Guarantor bound by the Guarantee of the Securities on the terms set forth in Article Ten of the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TWO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 PROVISIONS</w:t>
      </w:r>
    </w:p>
    <w:p>
      <w:pPr>
        <w:spacing w:after="0" w:line="175" w:lineRule="exact"/>
        <w:rPr>
          <w:sz w:val="20"/>
          <w:szCs w:val="20"/>
          <w:color w:val="auto"/>
        </w:rPr>
      </w:pPr>
    </w:p>
    <w:p>
      <w:pPr>
        <w:ind w:right="800" w:firstLine="1296"/>
        <w:spacing w:after="0" w:line="229"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Indenture</w:t>
      </w:r>
      <w:r>
        <w:rPr>
          <w:rFonts w:ascii="Arial" w:cs="Arial" w:eastAsia="Arial" w:hAnsi="Arial"/>
          <w:sz w:val="20"/>
          <w:szCs w:val="20"/>
          <w:color w:val="auto"/>
        </w:rPr>
        <w:t>. Except as amended hereby, the Indenture and the Securities are in all respects ratified and confirmed and all their terms shall remain in full force and effect.</w:t>
      </w:r>
    </w:p>
    <w:p>
      <w:pPr>
        <w:spacing w:after="0" w:line="155" w:lineRule="exact"/>
        <w:rPr>
          <w:sz w:val="20"/>
          <w:szCs w:val="20"/>
          <w:color w:val="auto"/>
        </w:rPr>
      </w:pPr>
    </w:p>
    <w:p>
      <w:pPr>
        <w:ind w:firstLine="1296"/>
        <w:spacing w:after="0" w:line="218"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Trustee’s Disclaimer</w:t>
      </w:r>
      <w:r>
        <w:rPr>
          <w:rFonts w:ascii="Arial" w:cs="Arial" w:eastAsia="Arial" w:hAnsi="Arial"/>
          <w:sz w:val="20"/>
          <w:szCs w:val="20"/>
          <w:color w:val="auto"/>
        </w:rPr>
        <w:t>. The Trustee shall not be responsible for or in respect of the validity or sufficiency of this Supplemental Indenture or for or in respect of the recitals contained herein, all of which recitals are made solely by the Company and the Additional Guarantor.</w:t>
      </w:r>
    </w:p>
    <w:p>
      <w:pPr>
        <w:spacing w:after="0" w:line="156" w:lineRule="exact"/>
        <w:rPr>
          <w:sz w:val="20"/>
          <w:szCs w:val="20"/>
          <w:color w:val="auto"/>
        </w:rPr>
      </w:pPr>
    </w:p>
    <w:p>
      <w:pPr>
        <w:ind w:right="20" w:firstLine="1296"/>
        <w:spacing w:after="0" w:line="213"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SHALL BE GOVERNED BY AND CONSTRUED IN ACCORDANCE WITH THE LAWS OF THE STATE OF NEW YORK, BUT WITHOUT GIVING EFFECT TO APPLICABLE PRINCIPLES OF CONFLICTS OF LAWS TO THE EXTENT THAT THE APPLICATION OF THE LAW OF ANOTHER JURISDICTION WOULD BE REQUIRED THEREBY.</w:t>
      </w:r>
    </w:p>
    <w:p>
      <w:pPr>
        <w:spacing w:after="0" w:line="156" w:lineRule="exact"/>
        <w:rPr>
          <w:sz w:val="20"/>
          <w:szCs w:val="20"/>
          <w:color w:val="auto"/>
        </w:rPr>
      </w:pPr>
    </w:p>
    <w:p>
      <w:pPr>
        <w:ind w:right="300" w:firstLine="1296"/>
        <w:spacing w:after="0" w:line="229"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Counterparts</w:t>
      </w:r>
      <w:r>
        <w:rPr>
          <w:rFonts w:ascii="Arial" w:cs="Arial" w:eastAsia="Arial" w:hAnsi="Arial"/>
          <w:sz w:val="20"/>
          <w:szCs w:val="20"/>
          <w:color w:val="auto"/>
        </w:rPr>
        <w:t>. This Supplemental Indenture may be executed in any number of counterparts, each of which shall be an original, but all of them together shall represent the same agreement.</w:t>
      </w:r>
    </w:p>
    <w:p>
      <w:pPr>
        <w:spacing w:after="0" w:line="155"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Headings</w:t>
      </w:r>
      <w:r>
        <w:rPr>
          <w:rFonts w:ascii="Arial" w:cs="Arial" w:eastAsia="Arial" w:hAnsi="Arial"/>
          <w:sz w:val="20"/>
          <w:szCs w:val="20"/>
          <w:color w:val="auto"/>
        </w:rPr>
        <w:t>. The Article and Section headings in this Supplemental Indenture are for convenience only and shall not affect the construction of this Supplemental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240"/>
          </w:cols>
          <w:pgMar w:left="320" w:top="130" w:right="339" w:bottom="1440" w:gutter="0" w:footer="0" w:header="0"/>
        </w:sectPr>
      </w:pPr>
    </w:p>
    <w:bookmarkStart w:id="150" w:name="page151"/>
    <w:bookmarkEnd w:id="150"/>
    <w:p>
      <w:pPr>
        <w:spacing w:after="0" w:line="225" w:lineRule="auto"/>
        <w:framePr w:w="3140" w:h="433" w:wrap="auto" w:vAnchor="page" w:hAnchor="page" w:x="4280" w:y="4756"/>
        <w:rPr>
          <w:rFonts w:ascii="Arial" w:cs="Arial" w:eastAsia="Arial" w:hAnsi="Arial"/>
          <w:sz w:val="20"/>
          <w:szCs w:val="20"/>
          <w:color w:val="auto"/>
        </w:rPr>
      </w:pPr>
      <w:r>
        <w:rPr>
          <w:rFonts w:ascii="Arial" w:cs="Arial" w:eastAsia="Arial" w:hAnsi="Arial"/>
          <w:sz w:val="20"/>
          <w:szCs w:val="20"/>
          <w:color w:val="auto"/>
        </w:rPr>
        <w:t>President and Chief Executive Officer, Secretary and Treasurer</w:t>
      </w:r>
    </w:p>
    <w:p>
      <w:pPr>
        <w:spacing w:after="0" w:line="141" w:lineRule="exact"/>
        <w:rPr>
          <w:rFonts w:ascii="Arial" w:cs="Arial" w:eastAsia="Arial" w:hAnsi="Arial"/>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SIGNATURES</w:t>
      </w:r>
    </w:p>
    <w:p>
      <w:pPr>
        <w:spacing w:after="0" w:line="175" w:lineRule="exact"/>
        <w:rPr>
          <w:rFonts w:ascii="Arial" w:cs="Arial" w:eastAsia="Arial" w:hAnsi="Arial"/>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written above.</w:t>
      </w:r>
    </w:p>
    <w:p>
      <w:pPr>
        <w:spacing w:after="0" w:line="200" w:lineRule="exact"/>
        <w:rPr>
          <w:rFonts w:ascii="Arial" w:cs="Arial" w:eastAsia="Arial" w:hAnsi="Arial"/>
          <w:sz w:val="20"/>
          <w:szCs w:val="20"/>
          <w:color w:val="auto"/>
        </w:rPr>
      </w:pPr>
    </w:p>
    <w:p>
      <w:pPr>
        <w:spacing w:after="0" w:line="273"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Company:</w:t>
      </w:r>
    </w:p>
    <w:p>
      <w:pPr>
        <w:spacing w:after="0" w:line="357"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SCIENTIFIC GAMES INTERNATIONAL, INC.</w:t>
      </w:r>
    </w:p>
    <w:p>
      <w:pPr>
        <w:spacing w:after="0" w:line="35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Patrick J. McHugh</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67">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Patrick J. McHugh</w:t>
      </w:r>
    </w:p>
    <w:p>
      <w:pPr>
        <w:spacing w:after="0" w:line="81"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Title: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Additional Guarantor:</w:t>
      </w:r>
    </w:p>
    <w:p>
      <w:pPr>
        <w:spacing w:after="0" w:line="343"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SGP HOLDCO, INC.</w:t>
      </w:r>
    </w:p>
    <w:p>
      <w:pPr>
        <w:spacing w:after="0" w:line="310"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Patrick J. McHugh</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68">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Patrick J. McHugh</w:t>
      </w:r>
    </w:p>
    <w:p>
      <w:pPr>
        <w:spacing w:after="0" w:line="81" w:lineRule="exact"/>
        <w:rPr>
          <w:rFonts w:ascii="Arial" w:cs="Arial" w:eastAsia="Arial" w:hAnsi="Arial"/>
          <w:sz w:val="20"/>
          <w:szCs w:val="20"/>
          <w:color w:val="auto"/>
        </w:rPr>
      </w:pPr>
    </w:p>
    <w:p>
      <w:pPr>
        <w:ind w:left="3360"/>
        <w:spacing w:after="0"/>
        <w:tabs>
          <w:tab w:leader="none" w:pos="3980" w:val="left"/>
        </w:tabs>
        <w:rPr>
          <w:sz w:val="20"/>
          <w:szCs w:val="20"/>
          <w:color w:val="auto"/>
        </w:rPr>
      </w:pPr>
      <w:r>
        <w:rPr>
          <w:rFonts w:ascii="Arial" w:cs="Arial" w:eastAsia="Arial" w:hAnsi="Arial"/>
          <w:sz w:val="20"/>
          <w:szCs w:val="20"/>
          <w:color w:val="auto"/>
        </w:rPr>
        <w:t>Title:</w:t>
        <w:tab/>
        <w:t>President, Secretary and Treasurer</w:t>
      </w:r>
    </w:p>
    <w:p>
      <w:pPr>
        <w:spacing w:after="0" w:line="345"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Existing Guarantors:</w:t>
      </w:r>
    </w:p>
    <w:p>
      <w:pPr>
        <w:spacing w:after="0" w:line="357"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SCIENTIFIC GAMES CORPORATION</w:t>
      </w:r>
    </w:p>
    <w:p>
      <w:pPr>
        <w:spacing w:after="0" w:line="35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Constance P. James</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69">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Constance P. James</w:t>
      </w:r>
    </w:p>
    <w:p>
      <w:pPr>
        <w:spacing w:after="0" w:line="81" w:lineRule="exact"/>
        <w:rPr>
          <w:rFonts w:ascii="Arial" w:cs="Arial" w:eastAsia="Arial" w:hAnsi="Arial"/>
          <w:sz w:val="20"/>
          <w:szCs w:val="20"/>
          <w:color w:val="auto"/>
        </w:rPr>
      </w:pPr>
    </w:p>
    <w:p>
      <w:pPr>
        <w:ind w:left="3360"/>
        <w:spacing w:after="0"/>
        <w:tabs>
          <w:tab w:leader="none" w:pos="3980" w:val="left"/>
        </w:tabs>
        <w:rPr>
          <w:sz w:val="20"/>
          <w:szCs w:val="20"/>
          <w:color w:val="auto"/>
        </w:rPr>
      </w:pPr>
      <w:r>
        <w:rPr>
          <w:rFonts w:ascii="Arial" w:cs="Arial" w:eastAsia="Arial" w:hAnsi="Arial"/>
          <w:sz w:val="20"/>
          <w:szCs w:val="20"/>
          <w:color w:val="auto"/>
        </w:rPr>
        <w:t>Title:</w:t>
        <w:tab/>
        <w:t>Executive Vice President, Chief Financial</w:t>
      </w:r>
    </w:p>
    <w:p>
      <w:pPr>
        <w:spacing w:after="0" w:line="81" w:lineRule="exact"/>
        <w:rPr>
          <w:rFonts w:ascii="Arial" w:cs="Arial" w:eastAsia="Arial" w:hAnsi="Arial"/>
          <w:sz w:val="20"/>
          <w:szCs w:val="20"/>
          <w:color w:val="auto"/>
        </w:rPr>
      </w:pPr>
    </w:p>
    <w:p>
      <w:pPr>
        <w:ind w:left="4000"/>
        <w:spacing w:after="0"/>
        <w:rPr>
          <w:sz w:val="20"/>
          <w:szCs w:val="20"/>
          <w:color w:val="auto"/>
        </w:rPr>
      </w:pPr>
      <w:r>
        <w:rPr>
          <w:rFonts w:ascii="Arial" w:cs="Arial" w:eastAsia="Arial" w:hAnsi="Arial"/>
          <w:sz w:val="20"/>
          <w:szCs w:val="20"/>
          <w:color w:val="auto"/>
        </w:rPr>
        <w:t>Officer, Treasurer and Corporate Secretary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87" w:lineRule="exact"/>
        <w:rPr>
          <w:rFonts w:ascii="Arial" w:cs="Arial" w:eastAsia="Arial" w:hAnsi="Arial"/>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Supplemental Indenture – 2025 Senior Secured Notes</w:t>
      </w:r>
      <w:r>
        <w:rPr>
          <w:rFonts w:ascii="Arial" w:cs="Arial" w:eastAsia="Arial" w:hAnsi="Arial"/>
          <w:sz w:val="20"/>
          <w:szCs w:val="20"/>
          <w:color w:val="auto"/>
        </w:rPr>
        <w:t>]</w:t>
      </w:r>
    </w:p>
    <w:p>
      <w:pPr>
        <w:sectPr>
          <w:pgSz w:w="11900" w:h="16838" w:orient="portrait"/>
          <w:cols w:equalWidth="0" w:num="1">
            <w:col w:w="11160"/>
          </w:cols>
          <w:pgMar w:left="320" w:top="1440" w:right="419" w:bottom="1440" w:gutter="0" w:footer="0" w:header="0"/>
        </w:sectPr>
      </w:pPr>
    </w:p>
    <w:bookmarkStart w:id="151" w:name="page152"/>
    <w:bookmarkEnd w:id="151"/>
    <w:p>
      <w:pPr>
        <w:spacing w:after="0" w:line="222"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SG GAMING, INC.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Matthew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36195</wp:posOffset>
            </wp:positionV>
            <wp:extent cx="41319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70">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74" w:lineRule="exact"/>
        <w:rPr>
          <w:sz w:val="20"/>
          <w:szCs w:val="20"/>
          <w:color w:val="auto"/>
        </w:rPr>
      </w:pPr>
    </w:p>
    <w:p>
      <w:pPr>
        <w:ind w:left="2220"/>
        <w:spacing w:after="0"/>
        <w:rPr>
          <w:sz w:val="20"/>
          <w:szCs w:val="20"/>
          <w:color w:val="auto"/>
        </w:rPr>
      </w:pPr>
      <w:r>
        <w:rPr>
          <w:rFonts w:ascii="Arial" w:cs="Arial" w:eastAsia="Arial" w:hAnsi="Arial"/>
          <w:sz w:val="20"/>
          <w:szCs w:val="20"/>
          <w:color w:val="auto"/>
        </w:rPr>
        <w:t>Name:  Matthew Wilson</w:t>
      </w:r>
    </w:p>
    <w:p>
      <w:pPr>
        <w:ind w:left="222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President, Treasurer and Secretary</w:t>
      </w:r>
    </w:p>
    <w:p>
      <w:pPr>
        <w:spacing w:after="0" w:line="313"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SG GAMING NORTH AMERICA, INC.</w:t>
      </w:r>
    </w:p>
    <w:p>
      <w:pPr>
        <w:spacing w:after="0" w:line="319"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36195</wp:posOffset>
            </wp:positionV>
            <wp:extent cx="413194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71">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74" w:lineRule="exact"/>
        <w:rPr>
          <w:sz w:val="20"/>
          <w:szCs w:val="20"/>
          <w:color w:val="auto"/>
        </w:rPr>
      </w:pPr>
    </w:p>
    <w:p>
      <w:pPr>
        <w:ind w:left="222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20"/>
        <w:spacing w:after="0"/>
        <w:tabs>
          <w:tab w:leader="none" w:pos="2860" w:val="left"/>
        </w:tabs>
        <w:rPr>
          <w:sz w:val="20"/>
          <w:szCs w:val="20"/>
          <w:color w:val="auto"/>
        </w:rPr>
      </w:pPr>
      <w:r>
        <w:rPr>
          <w:rFonts w:ascii="Arial" w:cs="Arial" w:eastAsia="Arial" w:hAnsi="Arial"/>
          <w:sz w:val="20"/>
          <w:szCs w:val="20"/>
          <w:color w:val="auto"/>
        </w:rPr>
        <w:t>Title:</w:t>
        <w:tab/>
        <w:t>President</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DON BEST SPORTS CORPORATION</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Jordan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36195</wp:posOffset>
            </wp:positionV>
            <wp:extent cx="413194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72">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74" w:lineRule="exact"/>
        <w:rPr>
          <w:sz w:val="20"/>
          <w:szCs w:val="20"/>
          <w:color w:val="auto"/>
        </w:rPr>
      </w:pPr>
    </w:p>
    <w:p>
      <w:pPr>
        <w:ind w:left="2220"/>
        <w:spacing w:after="0"/>
        <w:rPr>
          <w:sz w:val="20"/>
          <w:szCs w:val="20"/>
          <w:color w:val="auto"/>
        </w:rPr>
      </w:pPr>
      <w:r>
        <w:rPr>
          <w:rFonts w:ascii="Arial" w:cs="Arial" w:eastAsia="Arial" w:hAnsi="Arial"/>
          <w:sz w:val="20"/>
          <w:szCs w:val="20"/>
          <w:color w:val="auto"/>
        </w:rPr>
        <w:t>Name:  Jordan Levin</w:t>
      </w:r>
    </w:p>
    <w:p>
      <w:pPr>
        <w:spacing w:after="0" w:line="81" w:lineRule="exact"/>
        <w:rPr>
          <w:sz w:val="20"/>
          <w:szCs w:val="20"/>
          <w:color w:val="auto"/>
        </w:rPr>
      </w:pPr>
    </w:p>
    <w:p>
      <w:pPr>
        <w:ind w:left="2220"/>
        <w:spacing w:after="0"/>
        <w:tabs>
          <w:tab w:leader="none" w:pos="2860" w:val="left"/>
        </w:tabs>
        <w:rPr>
          <w:sz w:val="20"/>
          <w:szCs w:val="20"/>
          <w:color w:val="auto"/>
        </w:rPr>
      </w:pPr>
      <w:r>
        <w:rPr>
          <w:rFonts w:ascii="Arial" w:cs="Arial" w:eastAsia="Arial" w:hAnsi="Arial"/>
          <w:sz w:val="20"/>
          <w:szCs w:val="20"/>
          <w:color w:val="auto"/>
        </w:rPr>
        <w:t>Title:</w:t>
        <w:tab/>
        <w:t>President, Treasurer and Secretary</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MDI ENTERTAINMENT, LLC</w:t>
      </w:r>
    </w:p>
    <w:p>
      <w:pPr>
        <w:spacing w:after="0" w:line="339"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w:t>
      </w:r>
    </w:p>
    <w:p>
      <w:pPr>
        <w:ind w:left="2220"/>
        <w:spacing w:after="0"/>
        <w:rPr>
          <w:sz w:val="20"/>
          <w:szCs w:val="20"/>
          <w:color w:val="auto"/>
        </w:rPr>
      </w:pPr>
      <w:r>
        <w:rPr>
          <w:rFonts w:ascii="Arial" w:cs="Arial" w:eastAsia="Arial" w:hAnsi="Arial"/>
          <w:sz w:val="18"/>
          <w:szCs w:val="18"/>
          <w:color w:val="auto"/>
        </w:rPr>
        <w:t>Scientific Games International, Inc., its sole member/manager</w:t>
      </w:r>
    </w:p>
    <w:p>
      <w:pPr>
        <w:spacing w:after="0" w:line="31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36195</wp:posOffset>
            </wp:positionV>
            <wp:extent cx="413194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73">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01" w:lineRule="exact"/>
        <w:rPr>
          <w:sz w:val="20"/>
          <w:szCs w:val="20"/>
          <w:color w:val="auto"/>
        </w:rPr>
      </w:pPr>
    </w:p>
    <w:p>
      <w:pPr>
        <w:ind w:left="2220"/>
        <w:spacing w:after="0"/>
        <w:rPr>
          <w:sz w:val="20"/>
          <w:szCs w:val="20"/>
          <w:color w:val="auto"/>
        </w:rPr>
      </w:pPr>
      <w:r>
        <w:rPr>
          <w:rFonts w:ascii="Arial" w:cs="Arial" w:eastAsia="Arial" w:hAnsi="Arial"/>
          <w:sz w:val="20"/>
          <w:szCs w:val="20"/>
          <w:color w:val="auto"/>
        </w:rPr>
        <w:t>Name:  Patrick J. McHugh</w:t>
      </w:r>
    </w:p>
    <w:p>
      <w:pPr>
        <w:spacing w:after="0" w:line="54" w:lineRule="exact"/>
        <w:rPr>
          <w:sz w:val="20"/>
          <w:szCs w:val="20"/>
          <w:color w:val="auto"/>
        </w:rPr>
      </w:pPr>
    </w:p>
    <w:p>
      <w:pPr>
        <w:ind w:left="2220"/>
        <w:spacing w:after="0"/>
        <w:tabs>
          <w:tab w:leader="none" w:pos="2860" w:val="left"/>
        </w:tabs>
        <w:rPr>
          <w:sz w:val="20"/>
          <w:szCs w:val="20"/>
          <w:color w:val="auto"/>
        </w:rPr>
      </w:pPr>
      <w:r>
        <w:rPr>
          <w:rFonts w:ascii="Arial" w:cs="Arial" w:eastAsia="Arial" w:hAnsi="Arial"/>
          <w:sz w:val="20"/>
          <w:szCs w:val="20"/>
          <w:color w:val="auto"/>
        </w:rPr>
        <w:t>Title:</w:t>
        <w:tab/>
        <w:t>President and Chief Executive Officer,</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Secretary and Treasurer</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SCIENTIFIC GAMES NEW JERSEY, LLC</w:t>
      </w:r>
    </w:p>
    <w:p>
      <w:pPr>
        <w:spacing w:after="0" w:line="339"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w:t>
      </w:r>
    </w:p>
    <w:p>
      <w:pPr>
        <w:ind w:left="2220"/>
        <w:spacing w:after="0"/>
        <w:rPr>
          <w:sz w:val="20"/>
          <w:szCs w:val="20"/>
          <w:color w:val="auto"/>
        </w:rPr>
      </w:pPr>
      <w:r>
        <w:rPr>
          <w:rFonts w:ascii="Arial" w:cs="Arial" w:eastAsia="Arial" w:hAnsi="Arial"/>
          <w:sz w:val="18"/>
          <w:szCs w:val="18"/>
          <w:color w:val="auto"/>
        </w:rPr>
        <w:t>Scientific Games International, Inc., its sole member/manager</w:t>
      </w:r>
    </w:p>
    <w:p>
      <w:pPr>
        <w:spacing w:after="0" w:line="33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36195</wp:posOffset>
            </wp:positionV>
            <wp:extent cx="413194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74">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101" w:lineRule="exact"/>
        <w:rPr>
          <w:sz w:val="20"/>
          <w:szCs w:val="20"/>
          <w:color w:val="auto"/>
        </w:rPr>
      </w:pPr>
    </w:p>
    <w:p>
      <w:pPr>
        <w:ind w:left="2220"/>
        <w:spacing w:after="0"/>
        <w:rPr>
          <w:sz w:val="20"/>
          <w:szCs w:val="20"/>
          <w:color w:val="auto"/>
        </w:rPr>
      </w:pPr>
      <w:r>
        <w:rPr>
          <w:rFonts w:ascii="Arial" w:cs="Arial" w:eastAsia="Arial" w:hAnsi="Arial"/>
          <w:sz w:val="20"/>
          <w:szCs w:val="20"/>
          <w:color w:val="auto"/>
        </w:rPr>
        <w:t>Name:  Patrick J. McHugh</w:t>
      </w:r>
    </w:p>
    <w:p>
      <w:pPr>
        <w:spacing w:after="0" w:line="54" w:lineRule="exact"/>
        <w:rPr>
          <w:sz w:val="20"/>
          <w:szCs w:val="20"/>
          <w:color w:val="auto"/>
        </w:rPr>
      </w:pPr>
    </w:p>
    <w:p>
      <w:pPr>
        <w:ind w:left="2220"/>
        <w:spacing w:after="0"/>
        <w:tabs>
          <w:tab w:leader="none" w:pos="2860" w:val="left"/>
        </w:tabs>
        <w:rPr>
          <w:sz w:val="20"/>
          <w:szCs w:val="20"/>
          <w:color w:val="auto"/>
        </w:rPr>
      </w:pPr>
      <w:r>
        <w:rPr>
          <w:rFonts w:ascii="Arial" w:cs="Arial" w:eastAsia="Arial" w:hAnsi="Arial"/>
          <w:sz w:val="20"/>
          <w:szCs w:val="20"/>
          <w:color w:val="auto"/>
        </w:rPr>
        <w:t>Title:</w:t>
        <w:tab/>
        <w:t>President and Chief Executive Officer,</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Secretary and Treasurer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2025 Senior 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type w:val="continuous"/>
        </w:sectPr>
      </w:pPr>
    </w:p>
    <w:bookmarkStart w:id="152" w:name="page153"/>
    <w:bookmarkEnd w:id="152"/>
    <w:p>
      <w:pPr>
        <w:spacing w:after="0" w:line="4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NYX DIGITAL GAMING (USA), LLC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Scientific Games Corporation, its sole member</w:t>
      </w:r>
    </w:p>
    <w:p>
      <w:pPr>
        <w:spacing w:after="0" w:line="33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75">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101"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Constance P. James</w:t>
      </w:r>
    </w:p>
    <w:p>
      <w:pPr>
        <w:ind w:left="2240"/>
        <w:spacing w:after="0" w:line="181" w:lineRule="auto"/>
        <w:tabs>
          <w:tab w:leader="none" w:pos="2860" w:val="left"/>
        </w:tabs>
        <w:rPr>
          <w:sz w:val="20"/>
          <w:szCs w:val="20"/>
          <w:color w:val="auto"/>
        </w:rPr>
      </w:pPr>
      <w:r>
        <w:rPr>
          <w:rFonts w:ascii="Arial" w:cs="Arial" w:eastAsia="Arial" w:hAnsi="Arial"/>
          <w:sz w:val="35"/>
          <w:szCs w:val="35"/>
          <w:color w:val="auto"/>
          <w:vertAlign w:val="superscript"/>
        </w:rPr>
        <w:t>Title:</w:t>
      </w:r>
      <w:r>
        <w:rPr>
          <w:sz w:val="20"/>
          <w:szCs w:val="20"/>
          <w:color w:val="auto"/>
        </w:rPr>
        <w:tab/>
      </w:r>
      <w:r>
        <w:rPr>
          <w:rFonts w:ascii="Arial" w:cs="Arial" w:eastAsia="Arial" w:hAnsi="Arial"/>
          <w:sz w:val="18"/>
          <w:szCs w:val="18"/>
          <w:color w:val="auto"/>
        </w:rPr>
        <w:t>Executive Vice President, Chief Financial</w:t>
      </w:r>
    </w:p>
    <w:p>
      <w:pPr>
        <w:spacing w:after="0" w:line="63"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Officer, Treasurer and Corporate Secretary</w:t>
      </w:r>
    </w:p>
    <w:p>
      <w:pPr>
        <w:spacing w:after="0" w:line="289"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SCIENTIFIC GAMES, INC.</w:t>
      </w:r>
    </w:p>
    <w:p>
      <w:pPr>
        <w:spacing w:after="0" w:line="319"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76">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Secretary and Treasurer</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SCIENTIFIC GAMES PRODUCTS, LLC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SGP Holdco, Inc., its sole member</w:t>
      </w:r>
    </w:p>
    <w:p>
      <w:pPr>
        <w:spacing w:after="0" w:line="33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77">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2025 Senior 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53" w:name="page154"/>
    <w:bookmarkEnd w:id="153"/>
    <w:p>
      <w:pPr>
        <w:spacing w:after="0" w:line="41"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Trustee:</w:t>
      </w:r>
    </w:p>
    <w:p>
      <w:pPr>
        <w:spacing w:after="0" w:line="357" w:lineRule="exact"/>
        <w:rPr>
          <w:sz w:val="20"/>
          <w:szCs w:val="20"/>
          <w:color w:val="auto"/>
        </w:rPr>
      </w:pPr>
    </w:p>
    <w:p>
      <w:pPr>
        <w:jc w:val="right"/>
        <w:ind w:right="1199"/>
        <w:spacing w:after="0"/>
        <w:rPr>
          <w:sz w:val="20"/>
          <w:szCs w:val="20"/>
          <w:color w:val="auto"/>
        </w:rPr>
      </w:pPr>
      <w:r>
        <w:rPr>
          <w:rFonts w:ascii="Arial" w:cs="Arial" w:eastAsia="Arial" w:hAnsi="Arial"/>
          <w:sz w:val="20"/>
          <w:szCs w:val="20"/>
          <w:color w:val="auto"/>
        </w:rPr>
        <w:t>DEUTSCHE BANK TRUST COMPANY AMERICAS</w:t>
      </w:r>
    </w:p>
    <w:p>
      <w:pPr>
        <w:spacing w:after="0" w:line="337" w:lineRule="exact"/>
        <w:rPr>
          <w:sz w:val="20"/>
          <w:szCs w:val="20"/>
          <w:color w:val="auto"/>
        </w:rPr>
      </w:pPr>
    </w:p>
    <w:p>
      <w:pPr>
        <w:ind w:left="340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Chris Niesz</w:t>
      </w:r>
    </w:p>
    <w:p>
      <w:pPr>
        <w:spacing w:after="0" w:line="81" w:lineRule="exact"/>
        <w:rPr>
          <w:sz w:val="20"/>
          <w:szCs w:val="20"/>
          <w:color w:val="auto"/>
        </w:rPr>
      </w:pPr>
    </w:p>
    <w:p>
      <w:pPr>
        <w:ind w:left="3400"/>
        <w:spacing w:after="0"/>
        <w:tabs>
          <w:tab w:leader="none" w:pos="47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6"/>
          <w:szCs w:val="16"/>
          <w:color w:val="auto"/>
        </w:rPr>
        <w:t>Chris Niesz</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Its: Authorized Signatory</w:t>
      </w:r>
    </w:p>
    <w:p>
      <w:pPr>
        <w:spacing w:after="0" w:line="351" w:lineRule="exact"/>
        <w:rPr>
          <w:sz w:val="20"/>
          <w:szCs w:val="20"/>
          <w:color w:val="auto"/>
        </w:rPr>
      </w:pPr>
    </w:p>
    <w:p>
      <w:pPr>
        <w:ind w:left="340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Sebastian Hidalgo</w:t>
      </w:r>
    </w:p>
    <w:p>
      <w:pPr>
        <w:spacing w:after="0" w:line="81" w:lineRule="exact"/>
        <w:rPr>
          <w:sz w:val="20"/>
          <w:szCs w:val="20"/>
          <w:color w:val="auto"/>
        </w:rPr>
      </w:pPr>
    </w:p>
    <w:p>
      <w:pPr>
        <w:ind w:left="3400"/>
        <w:spacing w:after="0"/>
        <w:tabs>
          <w:tab w:leader="none" w:pos="47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6"/>
          <w:szCs w:val="16"/>
          <w:color w:val="auto"/>
        </w:rPr>
        <w:t>Sebastian Hidalgo</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2025 Senior 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20"/>
          <w:szCs w:val="20"/>
          <w:b w:val="1"/>
          <w:bCs w:val="1"/>
          <w:color w:val="auto"/>
        </w:rPr>
        <w:t>Exhibit 4.64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firstLine="1296"/>
        <w:spacing w:after="0" w:line="213" w:lineRule="auto"/>
        <w:rPr>
          <w:sz w:val="20"/>
          <w:szCs w:val="20"/>
          <w:color w:val="auto"/>
        </w:rPr>
      </w:pPr>
      <w:r>
        <w:rPr>
          <w:rFonts w:ascii="Arial" w:cs="Arial" w:eastAsia="Arial" w:hAnsi="Arial"/>
          <w:sz w:val="20"/>
          <w:szCs w:val="20"/>
          <w:color w:val="auto"/>
        </w:rPr>
        <w:t>SUPPLEMENTAL INDENTURE, dated as of October 19, 2021 (this “Supplemental Indenture”), by and among Scientific Games International, Inc., a Delaware corporation (the “Company”), the Guarantors (as defined in the indenture referred to herein), SGP Holdco, Inc., a Delaware corporation (the “Additional Guarantor”), and Deutsche Bank Trust Company Americas, a New York banking corporation, as trustee (the “Trustee”).</w:t>
      </w:r>
    </w:p>
    <w:p>
      <w:pPr>
        <w:spacing w:after="0" w:line="156" w:lineRule="exact"/>
        <w:rPr>
          <w:sz w:val="20"/>
          <w:szCs w:val="20"/>
          <w:color w:val="auto"/>
        </w:rPr>
      </w:pPr>
    </w:p>
    <w:p>
      <w:pPr>
        <w:ind w:right="600" w:firstLine="1296"/>
        <w:spacing w:after="0" w:line="242" w:lineRule="auto"/>
        <w:rPr>
          <w:sz w:val="20"/>
          <w:szCs w:val="20"/>
          <w:color w:val="auto"/>
        </w:rPr>
      </w:pPr>
      <w:r>
        <w:rPr>
          <w:rFonts w:ascii="Arial" w:cs="Arial" w:eastAsia="Arial" w:hAnsi="Arial"/>
          <w:sz w:val="19"/>
          <w:szCs w:val="19"/>
          <w:color w:val="auto"/>
        </w:rPr>
        <w:t>WHEREAS, the Company, the original Guarantors and the Trustee executed an Indenture, dated as of July 1, 2020, as amended and supplemented (the “Indenture”), relating to the Company’s 8.625% Senior Unsecured Notes due 2025;</w:t>
      </w:r>
    </w:p>
    <w:p>
      <w:pPr>
        <w:spacing w:after="0" w:line="153" w:lineRule="exact"/>
        <w:rPr>
          <w:sz w:val="20"/>
          <w:szCs w:val="20"/>
          <w:color w:val="auto"/>
        </w:rPr>
      </w:pPr>
    </w:p>
    <w:p>
      <w:pPr>
        <w:ind w:right="80" w:firstLine="1296"/>
        <w:spacing w:after="0" w:line="218" w:lineRule="auto"/>
        <w:rPr>
          <w:sz w:val="20"/>
          <w:szCs w:val="20"/>
          <w:color w:val="auto"/>
        </w:rPr>
      </w:pPr>
      <w:r>
        <w:rPr>
          <w:rFonts w:ascii="Arial" w:cs="Arial" w:eastAsia="Arial" w:hAnsi="Arial"/>
          <w:sz w:val="20"/>
          <w:szCs w:val="20"/>
          <w:color w:val="auto"/>
        </w:rPr>
        <w:t>WHEREAS, under certain circumstances, Section 10.17 of the Indenture requires the Company to cause each of the Company’s Restricted Subsidiaries to execute and deliver to the Trustee a supplemental indenture and thereby become a Guarantor bound by the Guarantee of the Securities on the terms set forth in Article Ten of the Indenture;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w:t>
      </w:r>
    </w:p>
    <w:p>
      <w:pPr>
        <w:spacing w:after="0"/>
        <w:rPr>
          <w:sz w:val="20"/>
          <w:szCs w:val="20"/>
          <w:color w:val="auto"/>
        </w:rPr>
      </w:pPr>
      <w:r>
        <w:rPr>
          <w:rFonts w:ascii="Arial" w:cs="Arial" w:eastAsia="Arial" w:hAnsi="Arial"/>
          <w:sz w:val="20"/>
          <w:szCs w:val="20"/>
          <w:color w:val="auto"/>
        </w:rPr>
        <w:t>Indenture; and</w:t>
      </w:r>
    </w:p>
    <w:p>
      <w:pPr>
        <w:spacing w:after="0" w:line="159" w:lineRule="exact"/>
        <w:rPr>
          <w:sz w:val="20"/>
          <w:szCs w:val="20"/>
          <w:color w:val="auto"/>
        </w:rPr>
      </w:pPr>
    </w:p>
    <w:p>
      <w:pPr>
        <w:ind w:right="120" w:firstLine="1296"/>
        <w:spacing w:after="0" w:line="229" w:lineRule="auto"/>
        <w:rPr>
          <w:sz w:val="20"/>
          <w:szCs w:val="20"/>
          <w:color w:val="auto"/>
        </w:rPr>
      </w:pPr>
      <w:r>
        <w:rPr>
          <w:rFonts w:ascii="Arial" w:cs="Arial" w:eastAsia="Arial" w:hAnsi="Arial"/>
          <w:sz w:val="20"/>
          <w:szCs w:val="20"/>
          <w:color w:val="auto"/>
        </w:rPr>
        <w:t>WHEREAS, except as otherwise defined herein in this Supplemental Indenture, capitalized terms used in this Supplemental Indenture have the meanings specified in the Indenture;</w:t>
      </w:r>
    </w:p>
    <w:p>
      <w:pPr>
        <w:spacing w:after="0" w:line="155" w:lineRule="exact"/>
        <w:rPr>
          <w:sz w:val="20"/>
          <w:szCs w:val="20"/>
          <w:color w:val="auto"/>
        </w:rPr>
      </w:pPr>
    </w:p>
    <w:p>
      <w:pPr>
        <w:ind w:right="240" w:firstLine="1296"/>
        <w:spacing w:after="0" w:line="229" w:lineRule="auto"/>
        <w:rPr>
          <w:sz w:val="20"/>
          <w:szCs w:val="20"/>
          <w:color w:val="auto"/>
        </w:rPr>
      </w:pPr>
      <w:r>
        <w:rPr>
          <w:rFonts w:ascii="Arial" w:cs="Arial" w:eastAsia="Arial" w:hAnsi="Arial"/>
          <w:sz w:val="20"/>
          <w:szCs w:val="20"/>
          <w:color w:val="auto"/>
        </w:rPr>
        <w:t>NOW, THEREFORE, in consideration of the above premises, each party agrees, for the benefit of the other parties and for the equal and ratable benefit of the Holders of the Securities, as follows:</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ONE</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AMENDMENT</w:t>
      </w:r>
    </w:p>
    <w:p>
      <w:pPr>
        <w:spacing w:after="0" w:line="175" w:lineRule="exact"/>
        <w:rPr>
          <w:sz w:val="20"/>
          <w:szCs w:val="20"/>
          <w:color w:val="auto"/>
        </w:rPr>
      </w:pPr>
    </w:p>
    <w:p>
      <w:pPr>
        <w:ind w:right="160" w:firstLine="1296"/>
        <w:spacing w:after="0" w:line="229"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Amendment</w:t>
      </w:r>
      <w:r>
        <w:rPr>
          <w:rFonts w:ascii="Arial" w:cs="Arial" w:eastAsia="Arial" w:hAnsi="Arial"/>
          <w:sz w:val="20"/>
          <w:szCs w:val="20"/>
          <w:color w:val="auto"/>
        </w:rPr>
        <w:t>. The Additional Guarantor hereby agrees to become a Guarantor bound by the Guarantee of the Securities on the terms set forth in Article Ten of the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TWO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 PROVISIONS</w:t>
      </w:r>
    </w:p>
    <w:p>
      <w:pPr>
        <w:spacing w:after="0" w:line="175" w:lineRule="exact"/>
        <w:rPr>
          <w:sz w:val="20"/>
          <w:szCs w:val="20"/>
          <w:color w:val="auto"/>
        </w:rPr>
      </w:pPr>
    </w:p>
    <w:p>
      <w:pPr>
        <w:ind w:right="800" w:firstLine="1296"/>
        <w:spacing w:after="0" w:line="229"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Indenture</w:t>
      </w:r>
      <w:r>
        <w:rPr>
          <w:rFonts w:ascii="Arial" w:cs="Arial" w:eastAsia="Arial" w:hAnsi="Arial"/>
          <w:sz w:val="20"/>
          <w:szCs w:val="20"/>
          <w:color w:val="auto"/>
        </w:rPr>
        <w:t>. Except as amended hereby, the Indenture and the Securities are in all respects ratified and confirmed and all their terms shall remain in full force and effect.</w:t>
      </w:r>
    </w:p>
    <w:p>
      <w:pPr>
        <w:spacing w:after="0" w:line="155" w:lineRule="exact"/>
        <w:rPr>
          <w:sz w:val="20"/>
          <w:szCs w:val="20"/>
          <w:color w:val="auto"/>
        </w:rPr>
      </w:pPr>
    </w:p>
    <w:p>
      <w:pPr>
        <w:ind w:firstLine="1296"/>
        <w:spacing w:after="0" w:line="218"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Trustee’s Disclaimer</w:t>
      </w:r>
      <w:r>
        <w:rPr>
          <w:rFonts w:ascii="Arial" w:cs="Arial" w:eastAsia="Arial" w:hAnsi="Arial"/>
          <w:sz w:val="20"/>
          <w:szCs w:val="20"/>
          <w:color w:val="auto"/>
        </w:rPr>
        <w:t>. The Trustee shall not be responsible for or in respect of the validity or sufficiency of this Supplemental Indenture or for or in respect of the recitals contained herein, all of which recitals are made solely by the Company and the Additional Guarantor.</w:t>
      </w:r>
    </w:p>
    <w:p>
      <w:pPr>
        <w:spacing w:after="0" w:line="156" w:lineRule="exact"/>
        <w:rPr>
          <w:sz w:val="20"/>
          <w:szCs w:val="20"/>
          <w:color w:val="auto"/>
        </w:rPr>
      </w:pPr>
    </w:p>
    <w:p>
      <w:pPr>
        <w:ind w:right="20" w:firstLine="1296"/>
        <w:spacing w:after="0" w:line="213"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SHALL BE GOVERNED BY AND CONSTRUED IN ACCORDANCE WITH THE LAWS OF THE STATE OF NEW YORK, BUT WITHOUT GIVING EFFECT TO APPLICABLE PRINCIPLES OF CONFLICTS OF LAWS TO THE EXTENT THAT THE APPLICATION OF THE LAW OF ANOTHER JURISDICTION WOULD BE REQUIRED THEREBY.</w:t>
      </w:r>
    </w:p>
    <w:p>
      <w:pPr>
        <w:spacing w:after="0" w:line="156" w:lineRule="exact"/>
        <w:rPr>
          <w:sz w:val="20"/>
          <w:szCs w:val="20"/>
          <w:color w:val="auto"/>
        </w:rPr>
      </w:pPr>
    </w:p>
    <w:p>
      <w:pPr>
        <w:ind w:right="300" w:firstLine="1296"/>
        <w:spacing w:after="0" w:line="229"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Counterparts</w:t>
      </w:r>
      <w:r>
        <w:rPr>
          <w:rFonts w:ascii="Arial" w:cs="Arial" w:eastAsia="Arial" w:hAnsi="Arial"/>
          <w:sz w:val="20"/>
          <w:szCs w:val="20"/>
          <w:color w:val="auto"/>
        </w:rPr>
        <w:t>. This Supplemental Indenture may be executed in any number of counterparts, each of which shall be an original, but all of them together shall represent the same agreement.</w:t>
      </w:r>
    </w:p>
    <w:p>
      <w:pPr>
        <w:spacing w:after="0" w:line="155"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Headings</w:t>
      </w:r>
      <w:r>
        <w:rPr>
          <w:rFonts w:ascii="Arial" w:cs="Arial" w:eastAsia="Arial" w:hAnsi="Arial"/>
          <w:sz w:val="20"/>
          <w:szCs w:val="20"/>
          <w:color w:val="auto"/>
        </w:rPr>
        <w:t>. The Article and Section headings in this Supplemental Indenture are for convenience only and shall not affect the construction of this Supplemental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240"/>
          </w:cols>
          <w:pgMar w:left="320" w:top="130" w:right="339" w:bottom="1440" w:gutter="0" w:footer="0" w:header="0"/>
        </w:sectPr>
      </w:pPr>
    </w:p>
    <w:bookmarkStart w:id="155" w:name="page156"/>
    <w:bookmarkEnd w:id="155"/>
    <w:p>
      <w:pPr>
        <w:spacing w:after="0" w:line="225" w:lineRule="auto"/>
        <w:framePr w:w="3140" w:h="433" w:wrap="auto" w:vAnchor="page" w:hAnchor="page" w:x="4280" w:y="4756"/>
        <w:rPr>
          <w:rFonts w:ascii="Arial" w:cs="Arial" w:eastAsia="Arial" w:hAnsi="Arial"/>
          <w:sz w:val="20"/>
          <w:szCs w:val="20"/>
          <w:color w:val="auto"/>
        </w:rPr>
      </w:pPr>
      <w:r>
        <w:rPr>
          <w:rFonts w:ascii="Arial" w:cs="Arial" w:eastAsia="Arial" w:hAnsi="Arial"/>
          <w:sz w:val="20"/>
          <w:szCs w:val="20"/>
          <w:color w:val="auto"/>
        </w:rPr>
        <w:t>President and Chief Executive Officer, Secretary and Treasurer</w:t>
      </w:r>
    </w:p>
    <w:p>
      <w:pPr>
        <w:spacing w:after="0" w:line="141" w:lineRule="exact"/>
        <w:rPr>
          <w:rFonts w:ascii="Arial" w:cs="Arial" w:eastAsia="Arial" w:hAnsi="Arial"/>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SIGNATURES</w:t>
      </w:r>
    </w:p>
    <w:p>
      <w:pPr>
        <w:spacing w:after="0" w:line="175" w:lineRule="exact"/>
        <w:rPr>
          <w:rFonts w:ascii="Arial" w:cs="Arial" w:eastAsia="Arial" w:hAnsi="Arial"/>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written above.</w:t>
      </w:r>
    </w:p>
    <w:p>
      <w:pPr>
        <w:spacing w:after="0" w:line="200" w:lineRule="exact"/>
        <w:rPr>
          <w:rFonts w:ascii="Arial" w:cs="Arial" w:eastAsia="Arial" w:hAnsi="Arial"/>
          <w:sz w:val="20"/>
          <w:szCs w:val="20"/>
          <w:color w:val="auto"/>
        </w:rPr>
      </w:pPr>
    </w:p>
    <w:p>
      <w:pPr>
        <w:spacing w:after="0" w:line="273"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Company:</w:t>
      </w:r>
    </w:p>
    <w:p>
      <w:pPr>
        <w:spacing w:after="0" w:line="357"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SCIENTIFIC GAMES INTERNATIONAL, INC.</w:t>
      </w:r>
    </w:p>
    <w:p>
      <w:pPr>
        <w:spacing w:after="0" w:line="35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Patrick J. McHugh</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78">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Patrick J. McHugh</w:t>
      </w:r>
    </w:p>
    <w:p>
      <w:pPr>
        <w:spacing w:after="0" w:line="81"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Title: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Additional Guarantor:</w:t>
      </w:r>
    </w:p>
    <w:p>
      <w:pPr>
        <w:spacing w:after="0" w:line="343"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SGP HOLDCO, INC.</w:t>
      </w:r>
    </w:p>
    <w:p>
      <w:pPr>
        <w:spacing w:after="0" w:line="310"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Patrick J. McHugh</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79">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Patrick J. McHugh</w:t>
      </w:r>
    </w:p>
    <w:p>
      <w:pPr>
        <w:spacing w:after="0" w:line="81" w:lineRule="exact"/>
        <w:rPr>
          <w:rFonts w:ascii="Arial" w:cs="Arial" w:eastAsia="Arial" w:hAnsi="Arial"/>
          <w:sz w:val="20"/>
          <w:szCs w:val="20"/>
          <w:color w:val="auto"/>
        </w:rPr>
      </w:pPr>
    </w:p>
    <w:p>
      <w:pPr>
        <w:ind w:left="3360"/>
        <w:spacing w:after="0"/>
        <w:tabs>
          <w:tab w:leader="none" w:pos="3980" w:val="left"/>
        </w:tabs>
        <w:rPr>
          <w:sz w:val="20"/>
          <w:szCs w:val="20"/>
          <w:color w:val="auto"/>
        </w:rPr>
      </w:pPr>
      <w:r>
        <w:rPr>
          <w:rFonts w:ascii="Arial" w:cs="Arial" w:eastAsia="Arial" w:hAnsi="Arial"/>
          <w:sz w:val="20"/>
          <w:szCs w:val="20"/>
          <w:color w:val="auto"/>
        </w:rPr>
        <w:t>Title:</w:t>
        <w:tab/>
        <w:t>President, Secretary and Treasurer</w:t>
      </w:r>
    </w:p>
    <w:p>
      <w:pPr>
        <w:spacing w:after="0" w:line="345"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Existing Guarantors:</w:t>
      </w:r>
    </w:p>
    <w:p>
      <w:pPr>
        <w:spacing w:after="0" w:line="357"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SCIENTIFIC GAMES CORPORATION</w:t>
      </w:r>
    </w:p>
    <w:p>
      <w:pPr>
        <w:spacing w:after="0" w:line="35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Constance P. James</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80">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Constance P. James</w:t>
      </w:r>
    </w:p>
    <w:p>
      <w:pPr>
        <w:spacing w:after="0" w:line="81" w:lineRule="exact"/>
        <w:rPr>
          <w:rFonts w:ascii="Arial" w:cs="Arial" w:eastAsia="Arial" w:hAnsi="Arial"/>
          <w:sz w:val="20"/>
          <w:szCs w:val="20"/>
          <w:color w:val="auto"/>
        </w:rPr>
      </w:pPr>
    </w:p>
    <w:p>
      <w:pPr>
        <w:ind w:left="3360"/>
        <w:spacing w:after="0"/>
        <w:tabs>
          <w:tab w:leader="none" w:pos="3980" w:val="left"/>
        </w:tabs>
        <w:rPr>
          <w:sz w:val="20"/>
          <w:szCs w:val="20"/>
          <w:color w:val="auto"/>
        </w:rPr>
      </w:pPr>
      <w:r>
        <w:rPr>
          <w:rFonts w:ascii="Arial" w:cs="Arial" w:eastAsia="Arial" w:hAnsi="Arial"/>
          <w:sz w:val="20"/>
          <w:szCs w:val="20"/>
          <w:color w:val="auto"/>
        </w:rPr>
        <w:t>Title:</w:t>
        <w:tab/>
        <w:t>Executive Vice President, Chief Financial</w:t>
      </w:r>
    </w:p>
    <w:p>
      <w:pPr>
        <w:spacing w:after="0" w:line="81" w:lineRule="exact"/>
        <w:rPr>
          <w:rFonts w:ascii="Arial" w:cs="Arial" w:eastAsia="Arial" w:hAnsi="Arial"/>
          <w:sz w:val="20"/>
          <w:szCs w:val="20"/>
          <w:color w:val="auto"/>
        </w:rPr>
      </w:pPr>
    </w:p>
    <w:p>
      <w:pPr>
        <w:ind w:left="4000"/>
        <w:spacing w:after="0"/>
        <w:rPr>
          <w:sz w:val="20"/>
          <w:szCs w:val="20"/>
          <w:color w:val="auto"/>
        </w:rPr>
      </w:pPr>
      <w:r>
        <w:rPr>
          <w:rFonts w:ascii="Arial" w:cs="Arial" w:eastAsia="Arial" w:hAnsi="Arial"/>
          <w:sz w:val="20"/>
          <w:szCs w:val="20"/>
          <w:color w:val="auto"/>
        </w:rPr>
        <w:t>Officer, Treasurer and Corporate Secretary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Supplemental Indenture – 2025 Senior Unsecured Notes</w:t>
      </w:r>
      <w:r>
        <w:rPr>
          <w:rFonts w:ascii="Arial" w:cs="Arial" w:eastAsia="Arial" w:hAnsi="Arial"/>
          <w:sz w:val="20"/>
          <w:szCs w:val="20"/>
          <w:color w:val="auto"/>
        </w:rPr>
        <w:t>]</w:t>
      </w:r>
    </w:p>
    <w:p>
      <w:pPr>
        <w:sectPr>
          <w:pgSz w:w="11900" w:h="16838" w:orient="portrait"/>
          <w:cols w:equalWidth="0" w:num="1">
            <w:col w:w="11160"/>
          </w:cols>
          <w:pgMar w:left="320" w:top="1440" w:right="419" w:bottom="1440" w:gutter="0" w:footer="0" w:header="0"/>
        </w:sectPr>
      </w:pPr>
    </w:p>
    <w:bookmarkStart w:id="156" w:name="page157"/>
    <w:bookmarkEnd w:id="156"/>
    <w:p>
      <w:pPr>
        <w:spacing w:after="0" w:line="222"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SG GAMING, INC.</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Matthew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81">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Matthew Wilson</w:t>
      </w:r>
    </w:p>
    <w:p>
      <w:pPr>
        <w:ind w:left="226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President, Treasurer and Secretary</w:t>
      </w:r>
    </w:p>
    <w:p>
      <w:pPr>
        <w:spacing w:after="0" w:line="31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SG GAMING NORTH AMERICA, INC.</w:t>
      </w:r>
    </w:p>
    <w:p>
      <w:pPr>
        <w:spacing w:after="0" w:line="31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82">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DON BEST SPORTS CORPORATION</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Jordan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83">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Jordan Levin</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Treasurer and Secretary</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MDI ENTERTAINMENT, LLC</w:t>
      </w:r>
    </w:p>
    <w:p>
      <w:pPr>
        <w:spacing w:after="0" w:line="33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ind w:left="2260"/>
        <w:spacing w:after="0"/>
        <w:rPr>
          <w:sz w:val="20"/>
          <w:szCs w:val="20"/>
          <w:color w:val="auto"/>
        </w:rPr>
      </w:pPr>
      <w:r>
        <w:rPr>
          <w:rFonts w:ascii="Arial" w:cs="Arial" w:eastAsia="Arial" w:hAnsi="Arial"/>
          <w:sz w:val="18"/>
          <w:szCs w:val="18"/>
          <w:color w:val="auto"/>
        </w:rPr>
        <w:t>Scientific Games International, Inc., its sole member/manager</w:t>
      </w:r>
    </w:p>
    <w:p>
      <w:pPr>
        <w:spacing w:after="0" w:line="317"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84">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and Chief Executive Officer,</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Secretary and Treasurer</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SCIENTIFIC GAMES NEW JERSEY, LLC</w:t>
      </w:r>
    </w:p>
    <w:p>
      <w:pPr>
        <w:spacing w:after="0" w:line="33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ind w:left="2260"/>
        <w:spacing w:after="0"/>
        <w:rPr>
          <w:sz w:val="20"/>
          <w:szCs w:val="20"/>
          <w:color w:val="auto"/>
        </w:rPr>
      </w:pPr>
      <w:r>
        <w:rPr>
          <w:rFonts w:ascii="Arial" w:cs="Arial" w:eastAsia="Arial" w:hAnsi="Arial"/>
          <w:sz w:val="18"/>
          <w:szCs w:val="18"/>
          <w:color w:val="auto"/>
        </w:rPr>
        <w:t>Scientific Games International, Inc., its sole member/manager</w:t>
      </w:r>
    </w:p>
    <w:p>
      <w:pPr>
        <w:spacing w:after="0" w:line="33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85">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and Chief Executive Officer,</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Secretary and Treasurer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2025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57" w:name="page158"/>
    <w:bookmarkEnd w:id="157"/>
    <w:p>
      <w:pPr>
        <w:spacing w:after="0" w:line="4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NYX DIGITAL GAMING (USA), LLC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Scientific Games Corporation, its sole member</w:t>
      </w:r>
    </w:p>
    <w:p>
      <w:pPr>
        <w:spacing w:after="0" w:line="33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86">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Constance P. James</w:t>
      </w:r>
    </w:p>
    <w:p>
      <w:pPr>
        <w:ind w:left="224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Executive Vice President, Chief Financial</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Officer, Treasurer and Corporate Secretary</w:t>
      </w:r>
    </w:p>
    <w:p>
      <w:pPr>
        <w:spacing w:after="0" w:line="289"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SCIENTIFIC GAMES, INC.</w:t>
      </w:r>
    </w:p>
    <w:p>
      <w:pPr>
        <w:spacing w:after="0" w:line="319"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87">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Secretary and Treasurer</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SCIENTIFIC GAMES PRODUCTS, LLC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SGP Holdco, Inc., its sole member</w:t>
      </w:r>
    </w:p>
    <w:p>
      <w:pPr>
        <w:spacing w:after="0" w:line="33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88">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Secretary and Treasurer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2025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58" w:name="page159"/>
    <w:bookmarkEnd w:id="158"/>
    <w:p>
      <w:pPr>
        <w:spacing w:after="0" w:line="41"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Trustee:</w:t>
      </w:r>
    </w:p>
    <w:p>
      <w:pPr>
        <w:spacing w:after="0" w:line="357" w:lineRule="exact"/>
        <w:rPr>
          <w:sz w:val="20"/>
          <w:szCs w:val="20"/>
          <w:color w:val="auto"/>
        </w:rPr>
      </w:pPr>
    </w:p>
    <w:p>
      <w:pPr>
        <w:jc w:val="right"/>
        <w:ind w:right="1199"/>
        <w:spacing w:after="0"/>
        <w:rPr>
          <w:sz w:val="20"/>
          <w:szCs w:val="20"/>
          <w:color w:val="auto"/>
        </w:rPr>
      </w:pPr>
      <w:r>
        <w:rPr>
          <w:rFonts w:ascii="Arial" w:cs="Arial" w:eastAsia="Arial" w:hAnsi="Arial"/>
          <w:sz w:val="20"/>
          <w:szCs w:val="20"/>
          <w:color w:val="auto"/>
        </w:rPr>
        <w:t>DEUTSCHE BANK TRUST COMPANY AMERICAS</w:t>
      </w:r>
    </w:p>
    <w:p>
      <w:pPr>
        <w:spacing w:after="0" w:line="337" w:lineRule="exact"/>
        <w:rPr>
          <w:sz w:val="20"/>
          <w:szCs w:val="20"/>
          <w:color w:val="auto"/>
        </w:rPr>
      </w:pPr>
    </w:p>
    <w:p>
      <w:pPr>
        <w:ind w:left="340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Chris Niesz</w:t>
      </w:r>
    </w:p>
    <w:p>
      <w:pPr>
        <w:spacing w:after="0" w:line="81" w:lineRule="exact"/>
        <w:rPr>
          <w:sz w:val="20"/>
          <w:szCs w:val="20"/>
          <w:color w:val="auto"/>
        </w:rPr>
      </w:pPr>
    </w:p>
    <w:p>
      <w:pPr>
        <w:ind w:left="3400"/>
        <w:spacing w:after="0"/>
        <w:tabs>
          <w:tab w:leader="none" w:pos="47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6"/>
          <w:szCs w:val="16"/>
          <w:color w:val="auto"/>
        </w:rPr>
        <w:t>Chris Niesz</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Its: Authorized Signatory</w:t>
      </w:r>
    </w:p>
    <w:p>
      <w:pPr>
        <w:spacing w:after="0" w:line="351" w:lineRule="exact"/>
        <w:rPr>
          <w:sz w:val="20"/>
          <w:szCs w:val="20"/>
          <w:color w:val="auto"/>
        </w:rPr>
      </w:pPr>
    </w:p>
    <w:p>
      <w:pPr>
        <w:ind w:left="340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Sebastian Hidalgo</w:t>
      </w:r>
    </w:p>
    <w:p>
      <w:pPr>
        <w:spacing w:after="0" w:line="81" w:lineRule="exact"/>
        <w:rPr>
          <w:sz w:val="20"/>
          <w:szCs w:val="20"/>
          <w:color w:val="auto"/>
        </w:rPr>
      </w:pPr>
    </w:p>
    <w:p>
      <w:pPr>
        <w:ind w:left="3400"/>
        <w:spacing w:after="0"/>
        <w:tabs>
          <w:tab w:leader="none" w:pos="47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6"/>
          <w:szCs w:val="16"/>
          <w:color w:val="auto"/>
        </w:rPr>
        <w:t>Sebastian Hidalgo</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2025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20"/>
          <w:szCs w:val="20"/>
          <w:b w:val="1"/>
          <w:bCs w:val="1"/>
          <w:color w:val="auto"/>
        </w:rPr>
        <w:t>Exhibit 4.65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firstLine="1296"/>
        <w:spacing w:after="0" w:line="213" w:lineRule="auto"/>
        <w:rPr>
          <w:sz w:val="20"/>
          <w:szCs w:val="20"/>
          <w:color w:val="auto"/>
        </w:rPr>
      </w:pPr>
      <w:r>
        <w:rPr>
          <w:rFonts w:ascii="Arial" w:cs="Arial" w:eastAsia="Arial" w:hAnsi="Arial"/>
          <w:sz w:val="20"/>
          <w:szCs w:val="20"/>
          <w:color w:val="auto"/>
        </w:rPr>
        <w:t>SUPPLEMENTAL INDENTURE, dated as of October 19, 2021 (this “Supplemental Indenture”), by and among Scientific Games International, Inc., a Delaware corporation (the “Company”), the Guarantors (as defined in the indenture referred to herein), SGP Holdco, Inc., a Delaware corporation (the “Additional Guarantor”), and Deutsche Bank Trust Company Americas, a New York banking corporation, as trustee, registrar and transfer agent (the “Trustee”).</w:t>
      </w:r>
    </w:p>
    <w:p>
      <w:pPr>
        <w:spacing w:after="0" w:line="156" w:lineRule="exact"/>
        <w:rPr>
          <w:sz w:val="20"/>
          <w:szCs w:val="20"/>
          <w:color w:val="auto"/>
        </w:rPr>
      </w:pPr>
    </w:p>
    <w:p>
      <w:pPr>
        <w:jc w:val="both"/>
        <w:ind w:right="280" w:firstLine="1296"/>
        <w:spacing w:after="0" w:line="218" w:lineRule="auto"/>
        <w:rPr>
          <w:sz w:val="20"/>
          <w:szCs w:val="20"/>
          <w:color w:val="auto"/>
        </w:rPr>
      </w:pPr>
      <w:r>
        <w:rPr>
          <w:rFonts w:ascii="Arial" w:cs="Arial" w:eastAsia="Arial" w:hAnsi="Arial"/>
          <w:sz w:val="20"/>
          <w:szCs w:val="20"/>
          <w:color w:val="auto"/>
        </w:rPr>
        <w:t>WHEREAS, the Company, the original Guarantors, the Trustee and Deutsche Bank AG, London Branch, as paying agent, executed an Indenture, dated as of February 14, 2018, as amended and supplemented (the “Indenture”), relating to the Company’s 5.500% Senior Unsecured Notes due 2026</w:t>
      </w:r>
    </w:p>
    <w:p>
      <w:pPr>
        <w:spacing w:after="0" w:line="156" w:lineRule="exact"/>
        <w:rPr>
          <w:sz w:val="20"/>
          <w:szCs w:val="20"/>
          <w:color w:val="auto"/>
        </w:rPr>
      </w:pPr>
    </w:p>
    <w:p>
      <w:pPr>
        <w:ind w:right="80" w:firstLine="1296"/>
        <w:spacing w:after="0" w:line="218" w:lineRule="auto"/>
        <w:rPr>
          <w:sz w:val="20"/>
          <w:szCs w:val="20"/>
          <w:color w:val="auto"/>
        </w:rPr>
      </w:pPr>
      <w:r>
        <w:rPr>
          <w:rFonts w:ascii="Arial" w:cs="Arial" w:eastAsia="Arial" w:hAnsi="Arial"/>
          <w:sz w:val="20"/>
          <w:szCs w:val="20"/>
          <w:color w:val="auto"/>
        </w:rPr>
        <w:t>WHEREAS, under certain circumstances, Section 10.17 of the Indenture requires the Company to cause each of the Company’s Restricted Subsidiaries to execute and deliver to the Trustee a supplemental indenture and thereby become a Guarantor bound by the Guarantee of the Securities on the terms set forth in Article Ten of the Indenture;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w:t>
      </w:r>
    </w:p>
    <w:p>
      <w:pPr>
        <w:spacing w:after="0"/>
        <w:rPr>
          <w:sz w:val="20"/>
          <w:szCs w:val="20"/>
          <w:color w:val="auto"/>
        </w:rPr>
      </w:pPr>
      <w:r>
        <w:rPr>
          <w:rFonts w:ascii="Arial" w:cs="Arial" w:eastAsia="Arial" w:hAnsi="Arial"/>
          <w:sz w:val="20"/>
          <w:szCs w:val="20"/>
          <w:color w:val="auto"/>
        </w:rPr>
        <w:t>Indenture; and</w:t>
      </w:r>
    </w:p>
    <w:p>
      <w:pPr>
        <w:spacing w:after="0" w:line="159" w:lineRule="exact"/>
        <w:rPr>
          <w:sz w:val="20"/>
          <w:szCs w:val="20"/>
          <w:color w:val="auto"/>
        </w:rPr>
      </w:pPr>
    </w:p>
    <w:p>
      <w:pPr>
        <w:ind w:right="120" w:firstLine="1296"/>
        <w:spacing w:after="0" w:line="229" w:lineRule="auto"/>
        <w:rPr>
          <w:sz w:val="20"/>
          <w:szCs w:val="20"/>
          <w:color w:val="auto"/>
        </w:rPr>
      </w:pPr>
      <w:r>
        <w:rPr>
          <w:rFonts w:ascii="Arial" w:cs="Arial" w:eastAsia="Arial" w:hAnsi="Arial"/>
          <w:sz w:val="20"/>
          <w:szCs w:val="20"/>
          <w:color w:val="auto"/>
        </w:rPr>
        <w:t>WHEREAS, except as otherwise defined herein in this Supplemental Indenture, capitalized terms used in this Supplemental Indenture have the meanings specified in the Indenture;</w:t>
      </w:r>
    </w:p>
    <w:p>
      <w:pPr>
        <w:spacing w:after="0" w:line="155" w:lineRule="exact"/>
        <w:rPr>
          <w:sz w:val="20"/>
          <w:szCs w:val="20"/>
          <w:color w:val="auto"/>
        </w:rPr>
      </w:pPr>
    </w:p>
    <w:p>
      <w:pPr>
        <w:ind w:right="240" w:firstLine="1296"/>
        <w:spacing w:after="0" w:line="229" w:lineRule="auto"/>
        <w:rPr>
          <w:sz w:val="20"/>
          <w:szCs w:val="20"/>
          <w:color w:val="auto"/>
        </w:rPr>
      </w:pPr>
      <w:r>
        <w:rPr>
          <w:rFonts w:ascii="Arial" w:cs="Arial" w:eastAsia="Arial" w:hAnsi="Arial"/>
          <w:sz w:val="20"/>
          <w:szCs w:val="20"/>
          <w:color w:val="auto"/>
        </w:rPr>
        <w:t>NOW, THEREFORE, in consideration of the above premises, each party agrees, for the benefit of the other parties and for the equal and ratable benefit of the Holders of the Securities, as follows:</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ONE</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AMENDMENT</w:t>
      </w:r>
    </w:p>
    <w:p>
      <w:pPr>
        <w:spacing w:after="0" w:line="175" w:lineRule="exact"/>
        <w:rPr>
          <w:sz w:val="20"/>
          <w:szCs w:val="20"/>
          <w:color w:val="auto"/>
        </w:rPr>
      </w:pPr>
    </w:p>
    <w:p>
      <w:pPr>
        <w:ind w:right="160" w:firstLine="1296"/>
        <w:spacing w:after="0" w:line="229"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Amendment</w:t>
      </w:r>
      <w:r>
        <w:rPr>
          <w:rFonts w:ascii="Arial" w:cs="Arial" w:eastAsia="Arial" w:hAnsi="Arial"/>
          <w:sz w:val="20"/>
          <w:szCs w:val="20"/>
          <w:color w:val="auto"/>
        </w:rPr>
        <w:t>. The Additional Guarantor hereby agrees to become a Guarantor bound by the Guarantee of the Securities on the terms set forth in Article Ten of the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TWO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 PROVISIONS</w:t>
      </w:r>
    </w:p>
    <w:p>
      <w:pPr>
        <w:spacing w:after="0" w:line="175" w:lineRule="exact"/>
        <w:rPr>
          <w:sz w:val="20"/>
          <w:szCs w:val="20"/>
          <w:color w:val="auto"/>
        </w:rPr>
      </w:pPr>
    </w:p>
    <w:p>
      <w:pPr>
        <w:ind w:right="800" w:firstLine="1296"/>
        <w:spacing w:after="0" w:line="229"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Indenture</w:t>
      </w:r>
      <w:r>
        <w:rPr>
          <w:rFonts w:ascii="Arial" w:cs="Arial" w:eastAsia="Arial" w:hAnsi="Arial"/>
          <w:sz w:val="20"/>
          <w:szCs w:val="20"/>
          <w:color w:val="auto"/>
        </w:rPr>
        <w:t>. Except as amended hereby, the Indenture and the Securities are in all respects ratified and confirmed and all their terms shall remain in full force and effect.</w:t>
      </w:r>
    </w:p>
    <w:p>
      <w:pPr>
        <w:spacing w:after="0" w:line="155" w:lineRule="exact"/>
        <w:rPr>
          <w:sz w:val="20"/>
          <w:szCs w:val="20"/>
          <w:color w:val="auto"/>
        </w:rPr>
      </w:pPr>
    </w:p>
    <w:p>
      <w:pPr>
        <w:ind w:firstLine="1296"/>
        <w:spacing w:after="0" w:line="218"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Trustee’s Disclaimer</w:t>
      </w:r>
      <w:r>
        <w:rPr>
          <w:rFonts w:ascii="Arial" w:cs="Arial" w:eastAsia="Arial" w:hAnsi="Arial"/>
          <w:sz w:val="20"/>
          <w:szCs w:val="20"/>
          <w:color w:val="auto"/>
        </w:rPr>
        <w:t>. The Trustee shall not be responsible for or in respect of the validity or sufficiency of this Supplemental Indenture or for or in respect of the recitals contained herein, all of which recitals are made solely by the Company and the Additional Guarantor.</w:t>
      </w:r>
    </w:p>
    <w:p>
      <w:pPr>
        <w:spacing w:after="0" w:line="156" w:lineRule="exact"/>
        <w:rPr>
          <w:sz w:val="20"/>
          <w:szCs w:val="20"/>
          <w:color w:val="auto"/>
        </w:rPr>
      </w:pPr>
    </w:p>
    <w:p>
      <w:pPr>
        <w:ind w:right="20" w:firstLine="1296"/>
        <w:spacing w:after="0" w:line="213"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SHALL BE GOVERNED BY AND CONSTRUED IN ACCORDANCE WITH THE LAWS OF THE STATE OF NEW YORK, BUT WITHOUT GIVING EFFECT TO APPLICABLE PRINCIPLES OF CONFLICTS OF LAWS TO THE EXTENT THAT THE APPLICATION OF THE LAW OF ANOTHER JURISDICTION WOULD BE REQUIRED THEREBY.</w:t>
      </w:r>
    </w:p>
    <w:p>
      <w:pPr>
        <w:spacing w:after="0" w:line="156" w:lineRule="exact"/>
        <w:rPr>
          <w:sz w:val="20"/>
          <w:szCs w:val="20"/>
          <w:color w:val="auto"/>
        </w:rPr>
      </w:pPr>
    </w:p>
    <w:p>
      <w:pPr>
        <w:ind w:right="300" w:firstLine="1296"/>
        <w:spacing w:after="0" w:line="229"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Counterparts</w:t>
      </w:r>
      <w:r>
        <w:rPr>
          <w:rFonts w:ascii="Arial" w:cs="Arial" w:eastAsia="Arial" w:hAnsi="Arial"/>
          <w:sz w:val="20"/>
          <w:szCs w:val="20"/>
          <w:color w:val="auto"/>
        </w:rPr>
        <w:t>. This Supplemental Indenture may be executed in any number of counterparts, each of which shall be an original, but all of them together shall represent the same agreement.</w:t>
      </w:r>
    </w:p>
    <w:p>
      <w:pPr>
        <w:spacing w:after="0" w:line="155"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Headings</w:t>
      </w:r>
      <w:r>
        <w:rPr>
          <w:rFonts w:ascii="Arial" w:cs="Arial" w:eastAsia="Arial" w:hAnsi="Arial"/>
          <w:sz w:val="20"/>
          <w:szCs w:val="20"/>
          <w:color w:val="auto"/>
        </w:rPr>
        <w:t>. The Article and Section headings in this Supplemental Indenture are for convenience only and shall not affect the construction of this Supplemental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240"/>
          </w:cols>
          <w:pgMar w:left="320" w:top="130" w:right="339" w:bottom="1440" w:gutter="0" w:footer="0" w:header="0"/>
        </w:sectPr>
      </w:pPr>
    </w:p>
    <w:bookmarkStart w:id="160" w:name="page161"/>
    <w:bookmarkEnd w:id="160"/>
    <w:p>
      <w:pPr>
        <w:spacing w:after="0" w:line="225" w:lineRule="auto"/>
        <w:framePr w:w="3140" w:h="433" w:wrap="auto" w:vAnchor="page" w:hAnchor="page" w:x="4280" w:y="4756"/>
        <w:rPr>
          <w:rFonts w:ascii="Arial" w:cs="Arial" w:eastAsia="Arial" w:hAnsi="Arial"/>
          <w:sz w:val="20"/>
          <w:szCs w:val="20"/>
          <w:color w:val="auto"/>
        </w:rPr>
      </w:pPr>
      <w:r>
        <w:rPr>
          <w:rFonts w:ascii="Arial" w:cs="Arial" w:eastAsia="Arial" w:hAnsi="Arial"/>
          <w:sz w:val="20"/>
          <w:szCs w:val="20"/>
          <w:color w:val="auto"/>
        </w:rPr>
        <w:t>President and Chief Executive Officer, Secretary and Treasurer</w:t>
      </w:r>
    </w:p>
    <w:p>
      <w:pPr>
        <w:spacing w:after="0" w:line="141" w:lineRule="exact"/>
        <w:rPr>
          <w:rFonts w:ascii="Arial" w:cs="Arial" w:eastAsia="Arial" w:hAnsi="Arial"/>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SIGNATURES</w:t>
      </w:r>
    </w:p>
    <w:p>
      <w:pPr>
        <w:spacing w:after="0" w:line="175" w:lineRule="exact"/>
        <w:rPr>
          <w:rFonts w:ascii="Arial" w:cs="Arial" w:eastAsia="Arial" w:hAnsi="Arial"/>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written above.</w:t>
      </w:r>
    </w:p>
    <w:p>
      <w:pPr>
        <w:spacing w:after="0" w:line="200" w:lineRule="exact"/>
        <w:rPr>
          <w:rFonts w:ascii="Arial" w:cs="Arial" w:eastAsia="Arial" w:hAnsi="Arial"/>
          <w:sz w:val="20"/>
          <w:szCs w:val="20"/>
          <w:color w:val="auto"/>
        </w:rPr>
      </w:pPr>
    </w:p>
    <w:p>
      <w:pPr>
        <w:spacing w:after="0" w:line="273"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Company:</w:t>
      </w:r>
    </w:p>
    <w:p>
      <w:pPr>
        <w:spacing w:after="0" w:line="357"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SCIENTIFIC GAMES INTERNATIONAL, INC.</w:t>
      </w:r>
    </w:p>
    <w:p>
      <w:pPr>
        <w:spacing w:after="0" w:line="35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Patrick J. McHugh</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89">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Patrick J. McHugh</w:t>
      </w:r>
    </w:p>
    <w:p>
      <w:pPr>
        <w:spacing w:after="0" w:line="81"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Title: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Additional Guarantor:</w:t>
      </w:r>
    </w:p>
    <w:p>
      <w:pPr>
        <w:spacing w:after="0" w:line="343"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SGP HOLDCO, INC.</w:t>
      </w:r>
    </w:p>
    <w:p>
      <w:pPr>
        <w:spacing w:after="0" w:line="310"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Patrick J. McHugh</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90">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Patrick J. McHugh</w:t>
      </w:r>
    </w:p>
    <w:p>
      <w:pPr>
        <w:spacing w:after="0" w:line="81" w:lineRule="exact"/>
        <w:rPr>
          <w:rFonts w:ascii="Arial" w:cs="Arial" w:eastAsia="Arial" w:hAnsi="Arial"/>
          <w:sz w:val="20"/>
          <w:szCs w:val="20"/>
          <w:color w:val="auto"/>
        </w:rPr>
      </w:pPr>
    </w:p>
    <w:p>
      <w:pPr>
        <w:ind w:left="3360"/>
        <w:spacing w:after="0"/>
        <w:tabs>
          <w:tab w:leader="none" w:pos="3980" w:val="left"/>
        </w:tabs>
        <w:rPr>
          <w:sz w:val="20"/>
          <w:szCs w:val="20"/>
          <w:color w:val="auto"/>
        </w:rPr>
      </w:pPr>
      <w:r>
        <w:rPr>
          <w:rFonts w:ascii="Arial" w:cs="Arial" w:eastAsia="Arial" w:hAnsi="Arial"/>
          <w:sz w:val="20"/>
          <w:szCs w:val="20"/>
          <w:color w:val="auto"/>
        </w:rPr>
        <w:t>Title:</w:t>
        <w:tab/>
        <w:t>President, Secretary and Treasurer</w:t>
      </w:r>
    </w:p>
    <w:p>
      <w:pPr>
        <w:spacing w:after="0" w:line="345"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Existing Guarantors:</w:t>
      </w:r>
    </w:p>
    <w:p>
      <w:pPr>
        <w:spacing w:after="0" w:line="357"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SCIENTIFIC GAMES CORPORATION</w:t>
      </w:r>
    </w:p>
    <w:p>
      <w:pPr>
        <w:spacing w:after="0" w:line="35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Constance P. James</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91">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Constance P. James</w:t>
      </w:r>
    </w:p>
    <w:p>
      <w:pPr>
        <w:spacing w:after="0" w:line="81" w:lineRule="exact"/>
        <w:rPr>
          <w:rFonts w:ascii="Arial" w:cs="Arial" w:eastAsia="Arial" w:hAnsi="Arial"/>
          <w:sz w:val="20"/>
          <w:szCs w:val="20"/>
          <w:color w:val="auto"/>
        </w:rPr>
      </w:pPr>
    </w:p>
    <w:p>
      <w:pPr>
        <w:ind w:left="3360"/>
        <w:spacing w:after="0"/>
        <w:tabs>
          <w:tab w:leader="none" w:pos="3980" w:val="left"/>
        </w:tabs>
        <w:rPr>
          <w:sz w:val="20"/>
          <w:szCs w:val="20"/>
          <w:color w:val="auto"/>
        </w:rPr>
      </w:pPr>
      <w:r>
        <w:rPr>
          <w:rFonts w:ascii="Arial" w:cs="Arial" w:eastAsia="Arial" w:hAnsi="Arial"/>
          <w:sz w:val="20"/>
          <w:szCs w:val="20"/>
          <w:color w:val="auto"/>
        </w:rPr>
        <w:t>Title:</w:t>
        <w:tab/>
        <w:t>Executive Vice President, Chief Financial</w:t>
      </w:r>
    </w:p>
    <w:p>
      <w:pPr>
        <w:spacing w:after="0" w:line="81" w:lineRule="exact"/>
        <w:rPr>
          <w:rFonts w:ascii="Arial" w:cs="Arial" w:eastAsia="Arial" w:hAnsi="Arial"/>
          <w:sz w:val="20"/>
          <w:szCs w:val="20"/>
          <w:color w:val="auto"/>
        </w:rPr>
      </w:pPr>
    </w:p>
    <w:p>
      <w:pPr>
        <w:ind w:left="4000"/>
        <w:spacing w:after="0"/>
        <w:rPr>
          <w:sz w:val="20"/>
          <w:szCs w:val="20"/>
          <w:color w:val="auto"/>
        </w:rPr>
      </w:pPr>
      <w:r>
        <w:rPr>
          <w:rFonts w:ascii="Arial" w:cs="Arial" w:eastAsia="Arial" w:hAnsi="Arial"/>
          <w:sz w:val="20"/>
          <w:szCs w:val="20"/>
          <w:color w:val="auto"/>
        </w:rPr>
        <w:t>Officer, Treasurer and Corporate Secretary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Supplemental Indenture – 2026 Unsecured Euro Notes</w:t>
      </w:r>
      <w:r>
        <w:rPr>
          <w:rFonts w:ascii="Arial" w:cs="Arial" w:eastAsia="Arial" w:hAnsi="Arial"/>
          <w:sz w:val="20"/>
          <w:szCs w:val="20"/>
          <w:color w:val="auto"/>
        </w:rPr>
        <w:t>]</w:t>
      </w:r>
    </w:p>
    <w:p>
      <w:pPr>
        <w:sectPr>
          <w:pgSz w:w="11900" w:h="16838" w:orient="portrait"/>
          <w:cols w:equalWidth="0" w:num="1">
            <w:col w:w="11160"/>
          </w:cols>
          <w:pgMar w:left="320" w:top="1440" w:right="419" w:bottom="1440" w:gutter="0" w:footer="0" w:header="0"/>
        </w:sectPr>
      </w:pPr>
    </w:p>
    <w:bookmarkStart w:id="161" w:name="page162"/>
    <w:bookmarkEnd w:id="161"/>
    <w:p>
      <w:pPr>
        <w:spacing w:after="0" w:line="222"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SG GAMING, INC.</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Matthew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92">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Matthew Wilson</w:t>
      </w:r>
    </w:p>
    <w:p>
      <w:pPr>
        <w:ind w:left="226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President, Treasurer and Secretary</w:t>
      </w:r>
    </w:p>
    <w:p>
      <w:pPr>
        <w:spacing w:after="0" w:line="31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SG GAMING NORTH AMERICA, INC.</w:t>
      </w:r>
    </w:p>
    <w:p>
      <w:pPr>
        <w:spacing w:after="0" w:line="31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93">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DON BEST SPORTS CORPORATION</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Jordan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94">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Jordan Levin</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Treasurer and Secretary</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MDI ENTERTAINMENT, LLC</w:t>
      </w:r>
    </w:p>
    <w:p>
      <w:pPr>
        <w:spacing w:after="0" w:line="33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ind w:left="2260"/>
        <w:spacing w:after="0"/>
        <w:rPr>
          <w:sz w:val="20"/>
          <w:szCs w:val="20"/>
          <w:color w:val="auto"/>
        </w:rPr>
      </w:pPr>
      <w:r>
        <w:rPr>
          <w:rFonts w:ascii="Arial" w:cs="Arial" w:eastAsia="Arial" w:hAnsi="Arial"/>
          <w:sz w:val="19"/>
          <w:szCs w:val="19"/>
          <w:color w:val="auto"/>
        </w:rPr>
        <w:t>Scientific Games International, Inc., its sole member/manager</w:t>
      </w:r>
    </w:p>
    <w:p>
      <w:pPr>
        <w:spacing w:after="0" w:line="306"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95">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and Chief Executive Officer,</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Secretary and Treasurer</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SCIENTIFIC GAMES NEW JERSEY, LLC</w:t>
      </w:r>
    </w:p>
    <w:p>
      <w:pPr>
        <w:spacing w:after="0" w:line="33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ind w:left="2260"/>
        <w:spacing w:after="0"/>
        <w:rPr>
          <w:sz w:val="20"/>
          <w:szCs w:val="20"/>
          <w:color w:val="auto"/>
        </w:rPr>
      </w:pPr>
      <w:r>
        <w:rPr>
          <w:rFonts w:ascii="Arial" w:cs="Arial" w:eastAsia="Arial" w:hAnsi="Arial"/>
          <w:sz w:val="19"/>
          <w:szCs w:val="19"/>
          <w:color w:val="auto"/>
        </w:rPr>
        <w:t>Scientific Games International, Inc., its sole member/manager</w:t>
      </w:r>
    </w:p>
    <w:p>
      <w:pPr>
        <w:spacing w:after="0" w:line="31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96">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and Chief Executive Officer,</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Secretary and Treasurer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2026 Unsecured Euro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62" w:name="page163"/>
    <w:bookmarkEnd w:id="162"/>
    <w:p>
      <w:pPr>
        <w:spacing w:after="0" w:line="222"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NYX DIGITAL GAMING (USA), LLC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Scientific Games Corporation, its sole member</w:t>
      </w:r>
    </w:p>
    <w:p>
      <w:pPr>
        <w:spacing w:after="0" w:line="33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97">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Constance P. James</w:t>
      </w:r>
    </w:p>
    <w:p>
      <w:pPr>
        <w:ind w:left="224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Executive Vice President, Chief Financial</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Officer, Treasurer and Corporate Secretary</w:t>
      </w:r>
    </w:p>
    <w:p>
      <w:pPr>
        <w:spacing w:after="0" w:line="289"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SCIENTIFIC GAMES, INC.</w:t>
      </w:r>
    </w:p>
    <w:p>
      <w:pPr>
        <w:spacing w:after="0" w:line="319"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98">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Secretary and Treasurer</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SCIENTIFIC GAMES PRODUCTS, LLC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SGP Holdco, Inc., its sole member</w:t>
      </w:r>
    </w:p>
    <w:p>
      <w:pPr>
        <w:spacing w:after="0" w:line="33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99">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Secretary and Treasurer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2026 Unsecured Euro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63" w:name="page164"/>
    <w:bookmarkEnd w:id="163"/>
    <w:p>
      <w:pPr>
        <w:spacing w:after="0" w:line="216"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Trustee:</w:t>
      </w:r>
    </w:p>
    <w:p>
      <w:pPr>
        <w:spacing w:after="0" w:line="357" w:lineRule="exact"/>
        <w:rPr>
          <w:sz w:val="20"/>
          <w:szCs w:val="20"/>
          <w:color w:val="auto"/>
        </w:rPr>
      </w:pPr>
    </w:p>
    <w:p>
      <w:pPr>
        <w:jc w:val="right"/>
        <w:ind w:right="1199"/>
        <w:spacing w:after="0"/>
        <w:rPr>
          <w:sz w:val="20"/>
          <w:szCs w:val="20"/>
          <w:color w:val="auto"/>
        </w:rPr>
      </w:pPr>
      <w:r>
        <w:rPr>
          <w:rFonts w:ascii="Arial" w:cs="Arial" w:eastAsia="Arial" w:hAnsi="Arial"/>
          <w:sz w:val="20"/>
          <w:szCs w:val="20"/>
          <w:color w:val="auto"/>
        </w:rPr>
        <w:t>DEUTSCHE BANK TRUST COMPANY AMERICAS</w:t>
      </w:r>
    </w:p>
    <w:p>
      <w:pPr>
        <w:spacing w:after="0" w:line="337" w:lineRule="exact"/>
        <w:rPr>
          <w:sz w:val="20"/>
          <w:szCs w:val="20"/>
          <w:color w:val="auto"/>
        </w:rPr>
      </w:pPr>
    </w:p>
    <w:p>
      <w:pPr>
        <w:ind w:left="340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Chris Niesz</w:t>
      </w:r>
    </w:p>
    <w:p>
      <w:pPr>
        <w:spacing w:after="0" w:line="81" w:lineRule="exact"/>
        <w:rPr>
          <w:sz w:val="20"/>
          <w:szCs w:val="20"/>
          <w:color w:val="auto"/>
        </w:rPr>
      </w:pPr>
    </w:p>
    <w:p>
      <w:pPr>
        <w:ind w:left="3400"/>
        <w:spacing w:after="0"/>
        <w:tabs>
          <w:tab w:leader="none" w:pos="47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6"/>
          <w:szCs w:val="16"/>
          <w:color w:val="auto"/>
        </w:rPr>
        <w:t>Chris Niesz</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Its: Authorized Signatory</w:t>
      </w:r>
    </w:p>
    <w:p>
      <w:pPr>
        <w:spacing w:after="0" w:line="351" w:lineRule="exact"/>
        <w:rPr>
          <w:sz w:val="20"/>
          <w:szCs w:val="20"/>
          <w:color w:val="auto"/>
        </w:rPr>
      </w:pPr>
    </w:p>
    <w:p>
      <w:pPr>
        <w:ind w:left="340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Sebastian Hidalgo</w:t>
      </w:r>
    </w:p>
    <w:p>
      <w:pPr>
        <w:spacing w:after="0" w:line="81" w:lineRule="exact"/>
        <w:rPr>
          <w:sz w:val="20"/>
          <w:szCs w:val="20"/>
          <w:color w:val="auto"/>
        </w:rPr>
      </w:pPr>
    </w:p>
    <w:p>
      <w:pPr>
        <w:ind w:left="3400"/>
        <w:spacing w:after="0"/>
        <w:tabs>
          <w:tab w:leader="none" w:pos="47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6"/>
          <w:szCs w:val="16"/>
          <w:color w:val="auto"/>
        </w:rPr>
        <w:t>Sebastian Hidalgo</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Its: Authorized Signatory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2026 Unsecured Euro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20"/>
          <w:szCs w:val="20"/>
          <w:b w:val="1"/>
          <w:bCs w:val="1"/>
          <w:color w:val="auto"/>
        </w:rPr>
        <w:t>Exhibit 4.66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firstLine="1296"/>
        <w:spacing w:after="0" w:line="224" w:lineRule="auto"/>
        <w:rPr>
          <w:sz w:val="20"/>
          <w:szCs w:val="20"/>
          <w:color w:val="auto"/>
        </w:rPr>
      </w:pPr>
      <w:r>
        <w:rPr>
          <w:rFonts w:ascii="Arial" w:cs="Arial" w:eastAsia="Arial" w:hAnsi="Arial"/>
          <w:sz w:val="19"/>
          <w:szCs w:val="19"/>
          <w:color w:val="auto"/>
        </w:rPr>
        <w:t>SUPPLEMENTAL INDENTURE, dated as of October 19, 2021 (this “Supplemental Indenture”), by and among Scientific Games International, Inc., a Delaware corporation (the “Company”), the Guarantors (as defined in the indenture referred to herein), SGP Holdco, Inc., a Delaware corporation (the “Additional Guarantor”), and Deutsche Bank Trust Company Americas, a New York banking corporation, as trustee, collateral agent, registrar and transfer agent (the “Trustee”).</w:t>
      </w:r>
    </w:p>
    <w:p>
      <w:pPr>
        <w:spacing w:after="0" w:line="156" w:lineRule="exact"/>
        <w:rPr>
          <w:sz w:val="20"/>
          <w:szCs w:val="20"/>
          <w:color w:val="auto"/>
        </w:rPr>
      </w:pPr>
    </w:p>
    <w:p>
      <w:pPr>
        <w:jc w:val="both"/>
        <w:ind w:right="280" w:firstLine="1296"/>
        <w:spacing w:after="0" w:line="218" w:lineRule="auto"/>
        <w:rPr>
          <w:sz w:val="20"/>
          <w:szCs w:val="20"/>
          <w:color w:val="auto"/>
        </w:rPr>
      </w:pPr>
      <w:r>
        <w:rPr>
          <w:rFonts w:ascii="Arial" w:cs="Arial" w:eastAsia="Arial" w:hAnsi="Arial"/>
          <w:sz w:val="20"/>
          <w:szCs w:val="20"/>
          <w:color w:val="auto"/>
        </w:rPr>
        <w:t>WHEREAS, the Company, the original Guarantors, the Trustee and Deutsche Bank AG, London Branch, as paying agent, executed an Indenture, dated as of February 14, 2018, as amended and supplemented (the “Indenture”), relating to the Company’s 3.375% Senior Secured Notes due 2026;</w:t>
      </w:r>
    </w:p>
    <w:p>
      <w:pPr>
        <w:spacing w:after="0" w:line="156" w:lineRule="exact"/>
        <w:rPr>
          <w:sz w:val="20"/>
          <w:szCs w:val="20"/>
          <w:color w:val="auto"/>
        </w:rPr>
      </w:pPr>
    </w:p>
    <w:p>
      <w:pPr>
        <w:ind w:right="80" w:firstLine="1296"/>
        <w:spacing w:after="0" w:line="218" w:lineRule="auto"/>
        <w:rPr>
          <w:sz w:val="20"/>
          <w:szCs w:val="20"/>
          <w:color w:val="auto"/>
        </w:rPr>
      </w:pPr>
      <w:r>
        <w:rPr>
          <w:rFonts w:ascii="Arial" w:cs="Arial" w:eastAsia="Arial" w:hAnsi="Arial"/>
          <w:sz w:val="20"/>
          <w:szCs w:val="20"/>
          <w:color w:val="auto"/>
        </w:rPr>
        <w:t>WHEREAS, under certain circumstances, Section 10.17 of the Indenture requires the Company to cause each of the Company’s Restricted Subsidiaries to execute and deliver to the Trustee a supplemental indenture and thereby become a Guarantor bound by the Guarantee of the Securities on the terms set forth in Article Ten of the Indenture;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w:t>
      </w:r>
    </w:p>
    <w:p>
      <w:pPr>
        <w:spacing w:after="0"/>
        <w:rPr>
          <w:sz w:val="20"/>
          <w:szCs w:val="20"/>
          <w:color w:val="auto"/>
        </w:rPr>
      </w:pPr>
      <w:r>
        <w:rPr>
          <w:rFonts w:ascii="Arial" w:cs="Arial" w:eastAsia="Arial" w:hAnsi="Arial"/>
          <w:sz w:val="20"/>
          <w:szCs w:val="20"/>
          <w:color w:val="auto"/>
        </w:rPr>
        <w:t>Indenture; and</w:t>
      </w:r>
    </w:p>
    <w:p>
      <w:pPr>
        <w:spacing w:after="0" w:line="159" w:lineRule="exact"/>
        <w:rPr>
          <w:sz w:val="20"/>
          <w:szCs w:val="20"/>
          <w:color w:val="auto"/>
        </w:rPr>
      </w:pPr>
    </w:p>
    <w:p>
      <w:pPr>
        <w:ind w:right="120" w:firstLine="1296"/>
        <w:spacing w:after="0" w:line="229" w:lineRule="auto"/>
        <w:rPr>
          <w:sz w:val="20"/>
          <w:szCs w:val="20"/>
          <w:color w:val="auto"/>
        </w:rPr>
      </w:pPr>
      <w:r>
        <w:rPr>
          <w:rFonts w:ascii="Arial" w:cs="Arial" w:eastAsia="Arial" w:hAnsi="Arial"/>
          <w:sz w:val="20"/>
          <w:szCs w:val="20"/>
          <w:color w:val="auto"/>
        </w:rPr>
        <w:t>WHEREAS, except as otherwise defined herein in this Supplemental Indenture, capitalized terms used in this Supplemental Indenture have the meanings specified in the Indenture;</w:t>
      </w:r>
    </w:p>
    <w:p>
      <w:pPr>
        <w:spacing w:after="0" w:line="155" w:lineRule="exact"/>
        <w:rPr>
          <w:sz w:val="20"/>
          <w:szCs w:val="20"/>
          <w:color w:val="auto"/>
        </w:rPr>
      </w:pPr>
    </w:p>
    <w:p>
      <w:pPr>
        <w:ind w:right="240" w:firstLine="1296"/>
        <w:spacing w:after="0" w:line="229" w:lineRule="auto"/>
        <w:rPr>
          <w:sz w:val="20"/>
          <w:szCs w:val="20"/>
          <w:color w:val="auto"/>
        </w:rPr>
      </w:pPr>
      <w:r>
        <w:rPr>
          <w:rFonts w:ascii="Arial" w:cs="Arial" w:eastAsia="Arial" w:hAnsi="Arial"/>
          <w:sz w:val="20"/>
          <w:szCs w:val="20"/>
          <w:color w:val="auto"/>
        </w:rPr>
        <w:t>NOW, THEREFORE, in consideration of the above premises, each party agrees, for the benefit of the other parties and for the equal and ratable benefit of the Holders of the Securities, as follows:</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ONE</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AMENDMENT</w:t>
      </w:r>
    </w:p>
    <w:p>
      <w:pPr>
        <w:spacing w:after="0" w:line="175" w:lineRule="exact"/>
        <w:rPr>
          <w:sz w:val="20"/>
          <w:szCs w:val="20"/>
          <w:color w:val="auto"/>
        </w:rPr>
      </w:pPr>
    </w:p>
    <w:p>
      <w:pPr>
        <w:ind w:right="160" w:firstLine="1296"/>
        <w:spacing w:after="0" w:line="229"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Amendment</w:t>
      </w:r>
      <w:r>
        <w:rPr>
          <w:rFonts w:ascii="Arial" w:cs="Arial" w:eastAsia="Arial" w:hAnsi="Arial"/>
          <w:sz w:val="20"/>
          <w:szCs w:val="20"/>
          <w:color w:val="auto"/>
        </w:rPr>
        <w:t>. The Additional Guarantor hereby agrees to become a Guarantor bound by the Guarantee of the Securities on the terms set forth in Article Ten of the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TWO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 PROVISIONS</w:t>
      </w:r>
    </w:p>
    <w:p>
      <w:pPr>
        <w:spacing w:after="0" w:line="175" w:lineRule="exact"/>
        <w:rPr>
          <w:sz w:val="20"/>
          <w:szCs w:val="20"/>
          <w:color w:val="auto"/>
        </w:rPr>
      </w:pPr>
    </w:p>
    <w:p>
      <w:pPr>
        <w:ind w:right="800" w:firstLine="1296"/>
        <w:spacing w:after="0" w:line="229"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Indenture</w:t>
      </w:r>
      <w:r>
        <w:rPr>
          <w:rFonts w:ascii="Arial" w:cs="Arial" w:eastAsia="Arial" w:hAnsi="Arial"/>
          <w:sz w:val="20"/>
          <w:szCs w:val="20"/>
          <w:color w:val="auto"/>
        </w:rPr>
        <w:t>. Except as amended hereby, the Indenture and the Securities are in all respects ratified and confirmed and all their terms shall remain in full force and effect.</w:t>
      </w:r>
    </w:p>
    <w:p>
      <w:pPr>
        <w:spacing w:after="0" w:line="155" w:lineRule="exact"/>
        <w:rPr>
          <w:sz w:val="20"/>
          <w:szCs w:val="20"/>
          <w:color w:val="auto"/>
        </w:rPr>
      </w:pPr>
    </w:p>
    <w:p>
      <w:pPr>
        <w:ind w:firstLine="1296"/>
        <w:spacing w:after="0" w:line="218"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Trustee’s Disclaimer</w:t>
      </w:r>
      <w:r>
        <w:rPr>
          <w:rFonts w:ascii="Arial" w:cs="Arial" w:eastAsia="Arial" w:hAnsi="Arial"/>
          <w:sz w:val="20"/>
          <w:szCs w:val="20"/>
          <w:color w:val="auto"/>
        </w:rPr>
        <w:t>. The Trustee shall not be responsible for or in respect of the validity or sufficiency of this Supplemental Indenture or for or in respect of the recitals contained herein, all of which recitals are made solely by the Company and the Additional Guarantor.</w:t>
      </w:r>
    </w:p>
    <w:p>
      <w:pPr>
        <w:spacing w:after="0" w:line="156" w:lineRule="exact"/>
        <w:rPr>
          <w:sz w:val="20"/>
          <w:szCs w:val="20"/>
          <w:color w:val="auto"/>
        </w:rPr>
      </w:pPr>
    </w:p>
    <w:p>
      <w:pPr>
        <w:ind w:right="20" w:firstLine="1296"/>
        <w:spacing w:after="0" w:line="213"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SHALL BE GOVERNED BY AND CONSTRUED IN ACCORDANCE WITH THE LAWS OF THE STATE OF NEW YORK, BUT WITHOUT GIVING EFFECT TO APPLICABLE PRINCIPLES OF CONFLICTS OF LAWS TO THE EXTENT THAT THE APPLICATION OF THE LAW OF ANOTHER JURISDICTION WOULD BE REQUIRED THEREBY.</w:t>
      </w:r>
    </w:p>
    <w:p>
      <w:pPr>
        <w:spacing w:after="0" w:line="156" w:lineRule="exact"/>
        <w:rPr>
          <w:sz w:val="20"/>
          <w:szCs w:val="20"/>
          <w:color w:val="auto"/>
        </w:rPr>
      </w:pPr>
    </w:p>
    <w:p>
      <w:pPr>
        <w:ind w:right="300" w:firstLine="1296"/>
        <w:spacing w:after="0" w:line="229"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Counterparts</w:t>
      </w:r>
      <w:r>
        <w:rPr>
          <w:rFonts w:ascii="Arial" w:cs="Arial" w:eastAsia="Arial" w:hAnsi="Arial"/>
          <w:sz w:val="20"/>
          <w:szCs w:val="20"/>
          <w:color w:val="auto"/>
        </w:rPr>
        <w:t>. This Supplemental Indenture may be executed in any number of counterparts, each of which shall be an original, but all of them together shall represent the same agreement.</w:t>
      </w:r>
    </w:p>
    <w:p>
      <w:pPr>
        <w:spacing w:after="0" w:line="155"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Headings</w:t>
      </w:r>
      <w:r>
        <w:rPr>
          <w:rFonts w:ascii="Arial" w:cs="Arial" w:eastAsia="Arial" w:hAnsi="Arial"/>
          <w:sz w:val="20"/>
          <w:szCs w:val="20"/>
          <w:color w:val="auto"/>
        </w:rPr>
        <w:t>. The Article and Section headings in this Supplemental Indenture are for convenience only and shall not affect the construction of this Supplemental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240"/>
          </w:cols>
          <w:pgMar w:left="320" w:top="130" w:right="339" w:bottom="1440" w:gutter="0" w:footer="0" w:header="0"/>
        </w:sectPr>
      </w:pPr>
    </w:p>
    <w:bookmarkStart w:id="165" w:name="page166"/>
    <w:bookmarkEnd w:id="165"/>
    <w:p>
      <w:pPr>
        <w:spacing w:after="0" w:line="225" w:lineRule="auto"/>
        <w:framePr w:w="3140" w:h="433" w:wrap="auto" w:vAnchor="page" w:hAnchor="page" w:x="4280" w:y="4756"/>
        <w:rPr>
          <w:rFonts w:ascii="Arial" w:cs="Arial" w:eastAsia="Arial" w:hAnsi="Arial"/>
          <w:sz w:val="20"/>
          <w:szCs w:val="20"/>
          <w:color w:val="auto"/>
        </w:rPr>
      </w:pPr>
      <w:r>
        <w:rPr>
          <w:rFonts w:ascii="Arial" w:cs="Arial" w:eastAsia="Arial" w:hAnsi="Arial"/>
          <w:sz w:val="20"/>
          <w:szCs w:val="20"/>
          <w:color w:val="auto"/>
        </w:rPr>
        <w:t>President and Chief Executive Officer, Secretary and Treasurer</w:t>
      </w:r>
    </w:p>
    <w:p>
      <w:pPr>
        <w:spacing w:after="0" w:line="141" w:lineRule="exact"/>
        <w:rPr>
          <w:rFonts w:ascii="Arial" w:cs="Arial" w:eastAsia="Arial" w:hAnsi="Arial"/>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SIGNATURES</w:t>
      </w:r>
    </w:p>
    <w:p>
      <w:pPr>
        <w:spacing w:after="0" w:line="175" w:lineRule="exact"/>
        <w:rPr>
          <w:rFonts w:ascii="Arial" w:cs="Arial" w:eastAsia="Arial" w:hAnsi="Arial"/>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written above.</w:t>
      </w:r>
    </w:p>
    <w:p>
      <w:pPr>
        <w:spacing w:after="0" w:line="200" w:lineRule="exact"/>
        <w:rPr>
          <w:rFonts w:ascii="Arial" w:cs="Arial" w:eastAsia="Arial" w:hAnsi="Arial"/>
          <w:sz w:val="20"/>
          <w:szCs w:val="20"/>
          <w:color w:val="auto"/>
        </w:rPr>
      </w:pPr>
    </w:p>
    <w:p>
      <w:pPr>
        <w:spacing w:after="0" w:line="273"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Company:</w:t>
      </w:r>
    </w:p>
    <w:p>
      <w:pPr>
        <w:spacing w:after="0" w:line="357"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SCIENTIFIC GAMES INTERNATIONAL, INC.</w:t>
      </w:r>
    </w:p>
    <w:p>
      <w:pPr>
        <w:spacing w:after="0" w:line="35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Patrick J. McHugh</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500">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Patrick J. McHugh</w:t>
      </w:r>
    </w:p>
    <w:p>
      <w:pPr>
        <w:spacing w:after="0" w:line="81"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Title: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Additional Guarantor:</w:t>
      </w:r>
    </w:p>
    <w:p>
      <w:pPr>
        <w:spacing w:after="0" w:line="343"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SGP HOLDCO, INC.</w:t>
      </w:r>
    </w:p>
    <w:p>
      <w:pPr>
        <w:spacing w:after="0" w:line="310"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Patrick J. McHugh</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501">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Patrick J. McHugh</w:t>
      </w:r>
    </w:p>
    <w:p>
      <w:pPr>
        <w:spacing w:after="0" w:line="81" w:lineRule="exact"/>
        <w:rPr>
          <w:rFonts w:ascii="Arial" w:cs="Arial" w:eastAsia="Arial" w:hAnsi="Arial"/>
          <w:sz w:val="20"/>
          <w:szCs w:val="20"/>
          <w:color w:val="auto"/>
        </w:rPr>
      </w:pPr>
    </w:p>
    <w:p>
      <w:pPr>
        <w:ind w:left="3360"/>
        <w:spacing w:after="0"/>
        <w:tabs>
          <w:tab w:leader="none" w:pos="3980" w:val="left"/>
        </w:tabs>
        <w:rPr>
          <w:sz w:val="20"/>
          <w:szCs w:val="20"/>
          <w:color w:val="auto"/>
        </w:rPr>
      </w:pPr>
      <w:r>
        <w:rPr>
          <w:rFonts w:ascii="Arial" w:cs="Arial" w:eastAsia="Arial" w:hAnsi="Arial"/>
          <w:sz w:val="20"/>
          <w:szCs w:val="20"/>
          <w:color w:val="auto"/>
        </w:rPr>
        <w:t>Title:</w:t>
        <w:tab/>
        <w:t>President, Secretary and Treasurer</w:t>
      </w:r>
    </w:p>
    <w:p>
      <w:pPr>
        <w:spacing w:after="0" w:line="345"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Existing Guarantors:</w:t>
      </w:r>
    </w:p>
    <w:p>
      <w:pPr>
        <w:spacing w:after="0" w:line="357"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SCIENTIFIC GAMES CORPORATION</w:t>
      </w:r>
    </w:p>
    <w:p>
      <w:pPr>
        <w:spacing w:after="0" w:line="35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Constance P. James</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502">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Constance P. James</w:t>
      </w:r>
    </w:p>
    <w:p>
      <w:pPr>
        <w:spacing w:after="0" w:line="81" w:lineRule="exact"/>
        <w:rPr>
          <w:rFonts w:ascii="Arial" w:cs="Arial" w:eastAsia="Arial" w:hAnsi="Arial"/>
          <w:sz w:val="20"/>
          <w:szCs w:val="20"/>
          <w:color w:val="auto"/>
        </w:rPr>
      </w:pPr>
    </w:p>
    <w:p>
      <w:pPr>
        <w:ind w:left="3360"/>
        <w:spacing w:after="0"/>
        <w:tabs>
          <w:tab w:leader="none" w:pos="3980" w:val="left"/>
        </w:tabs>
        <w:rPr>
          <w:sz w:val="20"/>
          <w:szCs w:val="20"/>
          <w:color w:val="auto"/>
        </w:rPr>
      </w:pPr>
      <w:r>
        <w:rPr>
          <w:rFonts w:ascii="Arial" w:cs="Arial" w:eastAsia="Arial" w:hAnsi="Arial"/>
          <w:sz w:val="20"/>
          <w:szCs w:val="20"/>
          <w:color w:val="auto"/>
        </w:rPr>
        <w:t>Title:</w:t>
        <w:tab/>
        <w:t>Executive Vice President, Chief Financial</w:t>
      </w:r>
    </w:p>
    <w:p>
      <w:pPr>
        <w:spacing w:after="0" w:line="81" w:lineRule="exact"/>
        <w:rPr>
          <w:rFonts w:ascii="Arial" w:cs="Arial" w:eastAsia="Arial" w:hAnsi="Arial"/>
          <w:sz w:val="20"/>
          <w:szCs w:val="20"/>
          <w:color w:val="auto"/>
        </w:rPr>
      </w:pPr>
    </w:p>
    <w:p>
      <w:pPr>
        <w:ind w:left="4000"/>
        <w:spacing w:after="0"/>
        <w:rPr>
          <w:sz w:val="20"/>
          <w:szCs w:val="20"/>
          <w:color w:val="auto"/>
        </w:rPr>
      </w:pPr>
      <w:r>
        <w:rPr>
          <w:rFonts w:ascii="Arial" w:cs="Arial" w:eastAsia="Arial" w:hAnsi="Arial"/>
          <w:sz w:val="20"/>
          <w:szCs w:val="20"/>
          <w:color w:val="auto"/>
        </w:rPr>
        <w:t>Officer, Treasurer and Corporate Secretary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Supplemental Indenture – 2026 Euro Secured Notes</w:t>
      </w:r>
      <w:r>
        <w:rPr>
          <w:rFonts w:ascii="Arial" w:cs="Arial" w:eastAsia="Arial" w:hAnsi="Arial"/>
          <w:sz w:val="20"/>
          <w:szCs w:val="20"/>
          <w:color w:val="auto"/>
        </w:rPr>
        <w:t>]</w:t>
      </w:r>
    </w:p>
    <w:p>
      <w:pPr>
        <w:sectPr>
          <w:pgSz w:w="11900" w:h="16838" w:orient="portrait"/>
          <w:cols w:equalWidth="0" w:num="1">
            <w:col w:w="11160"/>
          </w:cols>
          <w:pgMar w:left="320" w:top="1440" w:right="419" w:bottom="1440" w:gutter="0" w:footer="0" w:header="0"/>
        </w:sectPr>
      </w:pPr>
    </w:p>
    <w:bookmarkStart w:id="166" w:name="page167"/>
    <w:bookmarkEnd w:id="166"/>
    <w:p>
      <w:pPr>
        <w:spacing w:after="0" w:line="200" w:lineRule="exact"/>
        <w:rPr>
          <w:sz w:val="20"/>
          <w:szCs w:val="20"/>
          <w:color w:val="auto"/>
        </w:rPr>
      </w:pPr>
    </w:p>
    <w:p>
      <w:pPr>
        <w:spacing w:after="0" w:line="265"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SG GAMING, INC.</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Matthew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503">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Matthew Wilson</w:t>
      </w:r>
    </w:p>
    <w:p>
      <w:pPr>
        <w:ind w:left="226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President, Treasurer and Secretary</w:t>
      </w:r>
    </w:p>
    <w:p>
      <w:pPr>
        <w:spacing w:after="0" w:line="31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SG GAMING NORTH AMERICA, INC.</w:t>
      </w:r>
    </w:p>
    <w:p>
      <w:pPr>
        <w:spacing w:after="0" w:line="31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504">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DON BEST SPORTS CORPORATION</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Jordan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505">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Jordan Levin</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Treasurer and Secretary</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MDI ENTERTAINMENT, LLC</w:t>
      </w:r>
    </w:p>
    <w:p>
      <w:pPr>
        <w:spacing w:after="0" w:line="33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ind w:left="2260"/>
        <w:spacing w:after="0"/>
        <w:rPr>
          <w:sz w:val="20"/>
          <w:szCs w:val="20"/>
          <w:color w:val="auto"/>
        </w:rPr>
      </w:pPr>
      <w:r>
        <w:rPr>
          <w:rFonts w:ascii="Arial" w:cs="Arial" w:eastAsia="Arial" w:hAnsi="Arial"/>
          <w:sz w:val="16"/>
          <w:szCs w:val="16"/>
          <w:color w:val="auto"/>
        </w:rPr>
        <w:t>Scientific Games International, Inc., its sole member/manager</w:t>
      </w:r>
    </w:p>
    <w:p>
      <w:pPr>
        <w:spacing w:after="0" w:line="340"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506">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54"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and Chief Executive Officer,</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Secretary and Treasurer</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SCIENTIFIC GAMES NEW JERSEY, LLC</w:t>
      </w:r>
    </w:p>
    <w:p>
      <w:pPr>
        <w:spacing w:after="0" w:line="33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ind w:left="2260"/>
        <w:spacing w:after="0"/>
        <w:rPr>
          <w:sz w:val="20"/>
          <w:szCs w:val="20"/>
          <w:color w:val="auto"/>
        </w:rPr>
      </w:pPr>
      <w:r>
        <w:rPr>
          <w:rFonts w:ascii="Arial" w:cs="Arial" w:eastAsia="Arial" w:hAnsi="Arial"/>
          <w:sz w:val="16"/>
          <w:szCs w:val="16"/>
          <w:color w:val="auto"/>
        </w:rPr>
        <w:t>Scientific Games International, Inc., its sole member/manager</w:t>
      </w:r>
    </w:p>
    <w:p>
      <w:pPr>
        <w:spacing w:after="0" w:line="354"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507">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54"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and Chief Executive Officer,</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Secretary and Treasurer</w:t>
      </w:r>
    </w:p>
    <w:p>
      <w:pPr>
        <w:sectPr>
          <w:pgSz w:w="11900" w:h="16838" w:orient="portrait"/>
          <w:cols w:equalWidth="0" w:num="1">
            <w:col w:w="9019"/>
          </w:cols>
          <w:pgMar w:left="1440" w:top="1440" w:right="1440" w:bottom="9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2026 Euro 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955" w:gutter="0" w:footer="0" w:header="0"/>
          <w:type w:val="continuous"/>
        </w:sectPr>
      </w:pPr>
    </w:p>
    <w:bookmarkStart w:id="167" w:name="page168"/>
    <w:bookmarkEnd w:id="167"/>
    <w:p>
      <w:pPr>
        <w:spacing w:after="0" w:line="222"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NYX DIGITAL GAMING (USA), LLC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Scientific Games Corporation, its sole member</w:t>
      </w:r>
    </w:p>
    <w:p>
      <w:pPr>
        <w:spacing w:after="0" w:line="33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508">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101"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Constance P. James</w:t>
      </w:r>
    </w:p>
    <w:p>
      <w:pPr>
        <w:ind w:left="2240"/>
        <w:spacing w:after="0" w:line="181" w:lineRule="auto"/>
        <w:tabs>
          <w:tab w:leader="none" w:pos="2860" w:val="left"/>
        </w:tabs>
        <w:rPr>
          <w:sz w:val="20"/>
          <w:szCs w:val="20"/>
          <w:color w:val="auto"/>
        </w:rPr>
      </w:pPr>
      <w:r>
        <w:rPr>
          <w:rFonts w:ascii="Arial" w:cs="Arial" w:eastAsia="Arial" w:hAnsi="Arial"/>
          <w:sz w:val="35"/>
          <w:szCs w:val="35"/>
          <w:color w:val="auto"/>
          <w:vertAlign w:val="superscript"/>
        </w:rPr>
        <w:t>Title:</w:t>
      </w:r>
      <w:r>
        <w:rPr>
          <w:sz w:val="20"/>
          <w:szCs w:val="20"/>
          <w:color w:val="auto"/>
        </w:rPr>
        <w:tab/>
      </w:r>
      <w:r>
        <w:rPr>
          <w:rFonts w:ascii="Arial" w:cs="Arial" w:eastAsia="Arial" w:hAnsi="Arial"/>
          <w:sz w:val="18"/>
          <w:szCs w:val="18"/>
          <w:color w:val="auto"/>
        </w:rPr>
        <w:t>Executive Vice President, Chief Financial</w:t>
      </w:r>
    </w:p>
    <w:p>
      <w:pPr>
        <w:spacing w:after="0" w:line="63"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Officer, Treasurer and Corporate Secretary</w:t>
      </w:r>
    </w:p>
    <w:p>
      <w:pPr>
        <w:spacing w:after="0" w:line="289"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SCIENTIFIC GAMES, INC.</w:t>
      </w:r>
    </w:p>
    <w:p>
      <w:pPr>
        <w:spacing w:after="0" w:line="319"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509">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Secretary and Treasurer</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SCIENTIFIC GAMES PRODUCTS, LLC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SGP Holdco, Inc., its sole member</w:t>
      </w:r>
    </w:p>
    <w:p>
      <w:pPr>
        <w:spacing w:after="0" w:line="33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510">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Secretary and Treasurer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2026 Euro 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68" w:name="page169"/>
    <w:bookmarkEnd w:id="168"/>
    <w:p>
      <w:pPr>
        <w:spacing w:after="0" w:line="216"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Trustee:</w:t>
      </w:r>
    </w:p>
    <w:p>
      <w:pPr>
        <w:spacing w:after="0" w:line="357" w:lineRule="exact"/>
        <w:rPr>
          <w:sz w:val="20"/>
          <w:szCs w:val="20"/>
          <w:color w:val="auto"/>
        </w:rPr>
      </w:pPr>
    </w:p>
    <w:p>
      <w:pPr>
        <w:jc w:val="right"/>
        <w:ind w:right="1199"/>
        <w:spacing w:after="0"/>
        <w:rPr>
          <w:sz w:val="20"/>
          <w:szCs w:val="20"/>
          <w:color w:val="auto"/>
        </w:rPr>
      </w:pPr>
      <w:r>
        <w:rPr>
          <w:rFonts w:ascii="Arial" w:cs="Arial" w:eastAsia="Arial" w:hAnsi="Arial"/>
          <w:sz w:val="20"/>
          <w:szCs w:val="20"/>
          <w:color w:val="auto"/>
        </w:rPr>
        <w:t>DEUTSCHE BANK TRUST COMPANY AMERICAS</w:t>
      </w:r>
    </w:p>
    <w:p>
      <w:pPr>
        <w:spacing w:after="0" w:line="337" w:lineRule="exact"/>
        <w:rPr>
          <w:sz w:val="20"/>
          <w:szCs w:val="20"/>
          <w:color w:val="auto"/>
        </w:rPr>
      </w:pPr>
    </w:p>
    <w:p>
      <w:pPr>
        <w:ind w:left="340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Chris Niesz</w:t>
      </w:r>
    </w:p>
    <w:p>
      <w:pPr>
        <w:spacing w:after="0" w:line="81" w:lineRule="exact"/>
        <w:rPr>
          <w:sz w:val="20"/>
          <w:szCs w:val="20"/>
          <w:color w:val="auto"/>
        </w:rPr>
      </w:pPr>
    </w:p>
    <w:p>
      <w:pPr>
        <w:ind w:left="3400"/>
        <w:spacing w:after="0"/>
        <w:tabs>
          <w:tab w:leader="none" w:pos="47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6"/>
          <w:szCs w:val="16"/>
          <w:color w:val="auto"/>
        </w:rPr>
        <w:t>Chris Niesz</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Its: Authorized Signatory</w:t>
      </w:r>
    </w:p>
    <w:p>
      <w:pPr>
        <w:spacing w:after="0" w:line="351" w:lineRule="exact"/>
        <w:rPr>
          <w:sz w:val="20"/>
          <w:szCs w:val="20"/>
          <w:color w:val="auto"/>
        </w:rPr>
      </w:pPr>
    </w:p>
    <w:p>
      <w:pPr>
        <w:ind w:left="340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Sebastian Hidalgo</w:t>
      </w:r>
    </w:p>
    <w:p>
      <w:pPr>
        <w:spacing w:after="0" w:line="81" w:lineRule="exact"/>
        <w:rPr>
          <w:sz w:val="20"/>
          <w:szCs w:val="20"/>
          <w:color w:val="auto"/>
        </w:rPr>
      </w:pPr>
    </w:p>
    <w:p>
      <w:pPr>
        <w:ind w:left="3400"/>
        <w:spacing w:after="0"/>
        <w:tabs>
          <w:tab w:leader="none" w:pos="47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6"/>
          <w:szCs w:val="16"/>
          <w:color w:val="auto"/>
        </w:rPr>
        <w:t>Sebastian Hidalgo</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Its: Authorized Signatory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2026 Euro 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69" w:name="page170"/>
    <w:bookmarkEnd w:id="169"/>
    <w:p>
      <w:pPr>
        <w:jc w:val="right"/>
        <w:spacing w:after="0"/>
        <w:rPr>
          <w:sz w:val="20"/>
          <w:szCs w:val="20"/>
          <w:color w:val="auto"/>
        </w:rPr>
      </w:pPr>
      <w:r>
        <w:rPr>
          <w:rFonts w:ascii="Arial" w:cs="Arial" w:eastAsia="Arial" w:hAnsi="Arial"/>
          <w:sz w:val="20"/>
          <w:szCs w:val="20"/>
          <w:b w:val="1"/>
          <w:bCs w:val="1"/>
          <w:color w:val="auto"/>
        </w:rPr>
        <w:t>Exhibit 4.67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firstLine="1296"/>
        <w:spacing w:after="0" w:line="213" w:lineRule="auto"/>
        <w:rPr>
          <w:sz w:val="20"/>
          <w:szCs w:val="20"/>
          <w:color w:val="auto"/>
        </w:rPr>
      </w:pPr>
      <w:r>
        <w:rPr>
          <w:rFonts w:ascii="Arial" w:cs="Arial" w:eastAsia="Arial" w:hAnsi="Arial"/>
          <w:sz w:val="20"/>
          <w:szCs w:val="20"/>
          <w:color w:val="auto"/>
        </w:rPr>
        <w:t>SUPPLEMENTAL INDENTURE, dated as of October 19, 2021 (this “Supplemental Indenture”), by and among Scientific Games International, Inc., a Delaware corporation (the “Company”), the Guarantors (as defined in the indenture referred to herein), SGP Holdco, Inc., a Delaware corporation (the “Additional Guarantor”), and Deutsche Bank Trust Company Americas, a New York banking corporation, as trustee (the “Trustee”).</w:t>
      </w:r>
    </w:p>
    <w:p>
      <w:pPr>
        <w:spacing w:after="0" w:line="156" w:lineRule="exact"/>
        <w:rPr>
          <w:sz w:val="20"/>
          <w:szCs w:val="20"/>
          <w:color w:val="auto"/>
        </w:rPr>
      </w:pPr>
    </w:p>
    <w:p>
      <w:pPr>
        <w:ind w:right="320" w:firstLine="1296"/>
        <w:spacing w:after="0" w:line="242" w:lineRule="auto"/>
        <w:rPr>
          <w:sz w:val="20"/>
          <w:szCs w:val="20"/>
          <w:color w:val="auto"/>
        </w:rPr>
      </w:pPr>
      <w:r>
        <w:rPr>
          <w:rFonts w:ascii="Arial" w:cs="Arial" w:eastAsia="Arial" w:hAnsi="Arial"/>
          <w:sz w:val="19"/>
          <w:szCs w:val="19"/>
          <w:color w:val="auto"/>
        </w:rPr>
        <w:t>WHEREAS, the Company, the original Guarantors and the Trustee executed an Indenture, dated as of March 19, 2019, as amended and supplemented (the “Indenture”), relating to the Company’s 8.250% Senior Unsecured Notes due 2026;</w:t>
      </w:r>
    </w:p>
    <w:p>
      <w:pPr>
        <w:spacing w:after="0" w:line="153" w:lineRule="exact"/>
        <w:rPr>
          <w:sz w:val="20"/>
          <w:szCs w:val="20"/>
          <w:color w:val="auto"/>
        </w:rPr>
      </w:pPr>
    </w:p>
    <w:p>
      <w:pPr>
        <w:ind w:right="80" w:firstLine="1296"/>
        <w:spacing w:after="0" w:line="218" w:lineRule="auto"/>
        <w:rPr>
          <w:sz w:val="20"/>
          <w:szCs w:val="20"/>
          <w:color w:val="auto"/>
        </w:rPr>
      </w:pPr>
      <w:r>
        <w:rPr>
          <w:rFonts w:ascii="Arial" w:cs="Arial" w:eastAsia="Arial" w:hAnsi="Arial"/>
          <w:sz w:val="20"/>
          <w:szCs w:val="20"/>
          <w:color w:val="auto"/>
        </w:rPr>
        <w:t>WHEREAS, under certain circumstances, Section 10.17 of the Indenture requires the Company to cause each of the Company’s Restricted Subsidiaries to execute and deliver to the Trustee a supplemental indenture and thereby become a Guarantor bound by the Guarantee of the Securities on the terms set forth in Article Ten of the Indenture;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w:t>
      </w:r>
    </w:p>
    <w:p>
      <w:pPr>
        <w:spacing w:after="0"/>
        <w:rPr>
          <w:sz w:val="20"/>
          <w:szCs w:val="20"/>
          <w:color w:val="auto"/>
        </w:rPr>
      </w:pPr>
      <w:r>
        <w:rPr>
          <w:rFonts w:ascii="Arial" w:cs="Arial" w:eastAsia="Arial" w:hAnsi="Arial"/>
          <w:sz w:val="20"/>
          <w:szCs w:val="20"/>
          <w:color w:val="auto"/>
        </w:rPr>
        <w:t>Indenture; and</w:t>
      </w:r>
    </w:p>
    <w:p>
      <w:pPr>
        <w:spacing w:after="0" w:line="159" w:lineRule="exact"/>
        <w:rPr>
          <w:sz w:val="20"/>
          <w:szCs w:val="20"/>
          <w:color w:val="auto"/>
        </w:rPr>
      </w:pPr>
    </w:p>
    <w:p>
      <w:pPr>
        <w:ind w:right="120" w:firstLine="1296"/>
        <w:spacing w:after="0" w:line="229" w:lineRule="auto"/>
        <w:rPr>
          <w:sz w:val="20"/>
          <w:szCs w:val="20"/>
          <w:color w:val="auto"/>
        </w:rPr>
      </w:pPr>
      <w:r>
        <w:rPr>
          <w:rFonts w:ascii="Arial" w:cs="Arial" w:eastAsia="Arial" w:hAnsi="Arial"/>
          <w:sz w:val="20"/>
          <w:szCs w:val="20"/>
          <w:color w:val="auto"/>
        </w:rPr>
        <w:t>WHEREAS, except as otherwise defined herein in this Supplemental Indenture, capitalized terms used in this Supplemental Indenture have the meanings specified in the Indenture;</w:t>
      </w:r>
    </w:p>
    <w:p>
      <w:pPr>
        <w:spacing w:after="0" w:line="155" w:lineRule="exact"/>
        <w:rPr>
          <w:sz w:val="20"/>
          <w:szCs w:val="20"/>
          <w:color w:val="auto"/>
        </w:rPr>
      </w:pPr>
    </w:p>
    <w:p>
      <w:pPr>
        <w:ind w:right="240" w:firstLine="1296"/>
        <w:spacing w:after="0" w:line="229" w:lineRule="auto"/>
        <w:rPr>
          <w:sz w:val="20"/>
          <w:szCs w:val="20"/>
          <w:color w:val="auto"/>
        </w:rPr>
      </w:pPr>
      <w:r>
        <w:rPr>
          <w:rFonts w:ascii="Arial" w:cs="Arial" w:eastAsia="Arial" w:hAnsi="Arial"/>
          <w:sz w:val="20"/>
          <w:szCs w:val="20"/>
          <w:color w:val="auto"/>
        </w:rPr>
        <w:t>NOW, THEREFORE, in consideration of the above premises, each party agrees, for the benefit of the other parties and for the equal and ratable benefit of the Holders of the Securities, as follows:</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ONE</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AMENDMENT</w:t>
      </w:r>
    </w:p>
    <w:p>
      <w:pPr>
        <w:spacing w:after="0" w:line="175" w:lineRule="exact"/>
        <w:rPr>
          <w:sz w:val="20"/>
          <w:szCs w:val="20"/>
          <w:color w:val="auto"/>
        </w:rPr>
      </w:pPr>
    </w:p>
    <w:p>
      <w:pPr>
        <w:ind w:right="160" w:firstLine="1296"/>
        <w:spacing w:after="0" w:line="229"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Amendment</w:t>
      </w:r>
      <w:r>
        <w:rPr>
          <w:rFonts w:ascii="Arial" w:cs="Arial" w:eastAsia="Arial" w:hAnsi="Arial"/>
          <w:sz w:val="20"/>
          <w:szCs w:val="20"/>
          <w:color w:val="auto"/>
        </w:rPr>
        <w:t>. The Additional Guarantor hereby agrees to become a Guarantor bound by the Guarantee of the Securities on the terms set forth in Article Ten of the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TWO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 PROVISIONS</w:t>
      </w:r>
    </w:p>
    <w:p>
      <w:pPr>
        <w:spacing w:after="0" w:line="175" w:lineRule="exact"/>
        <w:rPr>
          <w:sz w:val="20"/>
          <w:szCs w:val="20"/>
          <w:color w:val="auto"/>
        </w:rPr>
      </w:pPr>
    </w:p>
    <w:p>
      <w:pPr>
        <w:ind w:right="800" w:firstLine="1296"/>
        <w:spacing w:after="0" w:line="229"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Indenture</w:t>
      </w:r>
      <w:r>
        <w:rPr>
          <w:rFonts w:ascii="Arial" w:cs="Arial" w:eastAsia="Arial" w:hAnsi="Arial"/>
          <w:sz w:val="20"/>
          <w:szCs w:val="20"/>
          <w:color w:val="auto"/>
        </w:rPr>
        <w:t>. Except as amended hereby, the Indenture and the Securities are in all respects ratified and confirmed and all their terms shall remain in full force and effect.</w:t>
      </w:r>
    </w:p>
    <w:p>
      <w:pPr>
        <w:spacing w:after="0" w:line="155" w:lineRule="exact"/>
        <w:rPr>
          <w:sz w:val="20"/>
          <w:szCs w:val="20"/>
          <w:color w:val="auto"/>
        </w:rPr>
      </w:pPr>
    </w:p>
    <w:p>
      <w:pPr>
        <w:ind w:firstLine="1296"/>
        <w:spacing w:after="0" w:line="218"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Trustee’s Disclaimer</w:t>
      </w:r>
      <w:r>
        <w:rPr>
          <w:rFonts w:ascii="Arial" w:cs="Arial" w:eastAsia="Arial" w:hAnsi="Arial"/>
          <w:sz w:val="20"/>
          <w:szCs w:val="20"/>
          <w:color w:val="auto"/>
        </w:rPr>
        <w:t>. The Trustee shall not be responsible for or in respect of the validity or sufficiency of this Supplemental Indenture or for or in respect of the recitals contained herein, all of which recitals are made solely by the Company and the Additional Guarantor.</w:t>
      </w:r>
    </w:p>
    <w:p>
      <w:pPr>
        <w:spacing w:after="0" w:line="156" w:lineRule="exact"/>
        <w:rPr>
          <w:sz w:val="20"/>
          <w:szCs w:val="20"/>
          <w:color w:val="auto"/>
        </w:rPr>
      </w:pPr>
    </w:p>
    <w:p>
      <w:pPr>
        <w:ind w:right="20" w:firstLine="1296"/>
        <w:spacing w:after="0" w:line="213"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SHALL BE GOVERNED BY AND CONSTRUED IN ACCORDANCE WITH THE LAWS OF THE STATE OF NEW YORK, BUT WITHOUT GIVING EFFECT TO APPLICABLE PRINCIPLES OF CONFLICTS OF LAWS TO THE EXTENT THAT THE APPLICATION OF THE LAW OF ANOTHER JURISDICTION WOULD BE REQUIRED THEREBY.</w:t>
      </w:r>
    </w:p>
    <w:p>
      <w:pPr>
        <w:spacing w:after="0" w:line="156" w:lineRule="exact"/>
        <w:rPr>
          <w:sz w:val="20"/>
          <w:szCs w:val="20"/>
          <w:color w:val="auto"/>
        </w:rPr>
      </w:pPr>
    </w:p>
    <w:p>
      <w:pPr>
        <w:ind w:right="300" w:firstLine="1296"/>
        <w:spacing w:after="0" w:line="229"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Counterparts</w:t>
      </w:r>
      <w:r>
        <w:rPr>
          <w:rFonts w:ascii="Arial" w:cs="Arial" w:eastAsia="Arial" w:hAnsi="Arial"/>
          <w:sz w:val="20"/>
          <w:szCs w:val="20"/>
          <w:color w:val="auto"/>
        </w:rPr>
        <w:t>. This Supplemental Indenture may be executed in any number of counterparts, each of which shall be an original, but all of them together shall represent the same agreement.</w:t>
      </w:r>
    </w:p>
    <w:p>
      <w:pPr>
        <w:spacing w:after="0" w:line="155"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Headings</w:t>
      </w:r>
      <w:r>
        <w:rPr>
          <w:rFonts w:ascii="Arial" w:cs="Arial" w:eastAsia="Arial" w:hAnsi="Arial"/>
          <w:sz w:val="20"/>
          <w:szCs w:val="20"/>
          <w:color w:val="auto"/>
        </w:rPr>
        <w:t>. The Article and Section headings in this Supplemental Indenture are for convenience only and shall not affect the construction of this Supplemental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240"/>
          </w:cols>
          <w:pgMar w:left="320" w:top="130" w:right="339" w:bottom="1440" w:gutter="0" w:footer="0" w:header="0"/>
        </w:sectPr>
      </w:pPr>
    </w:p>
    <w:bookmarkStart w:id="170" w:name="page171"/>
    <w:bookmarkEnd w:id="170"/>
    <w:p>
      <w:pPr>
        <w:spacing w:after="0" w:line="225" w:lineRule="auto"/>
        <w:framePr w:w="3140" w:h="433" w:wrap="auto" w:vAnchor="page" w:hAnchor="page" w:x="4280" w:y="4756"/>
        <w:rPr>
          <w:rFonts w:ascii="Arial" w:cs="Arial" w:eastAsia="Arial" w:hAnsi="Arial"/>
          <w:sz w:val="20"/>
          <w:szCs w:val="20"/>
          <w:color w:val="auto"/>
        </w:rPr>
      </w:pPr>
      <w:r>
        <w:rPr>
          <w:rFonts w:ascii="Arial" w:cs="Arial" w:eastAsia="Arial" w:hAnsi="Arial"/>
          <w:sz w:val="20"/>
          <w:szCs w:val="20"/>
          <w:color w:val="auto"/>
        </w:rPr>
        <w:t>President and Chief Executive Officer, Secretary and Treasurer</w:t>
      </w:r>
    </w:p>
    <w:p>
      <w:pPr>
        <w:spacing w:after="0" w:line="141" w:lineRule="exact"/>
        <w:rPr>
          <w:rFonts w:ascii="Arial" w:cs="Arial" w:eastAsia="Arial" w:hAnsi="Arial"/>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SIGNATURES</w:t>
      </w:r>
    </w:p>
    <w:p>
      <w:pPr>
        <w:spacing w:after="0" w:line="175" w:lineRule="exact"/>
        <w:rPr>
          <w:rFonts w:ascii="Arial" w:cs="Arial" w:eastAsia="Arial" w:hAnsi="Arial"/>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written above.</w:t>
      </w:r>
    </w:p>
    <w:p>
      <w:pPr>
        <w:spacing w:after="0" w:line="200" w:lineRule="exact"/>
        <w:rPr>
          <w:rFonts w:ascii="Arial" w:cs="Arial" w:eastAsia="Arial" w:hAnsi="Arial"/>
          <w:sz w:val="20"/>
          <w:szCs w:val="20"/>
          <w:color w:val="auto"/>
        </w:rPr>
      </w:pPr>
    </w:p>
    <w:p>
      <w:pPr>
        <w:spacing w:after="0" w:line="273"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Company:</w:t>
      </w:r>
    </w:p>
    <w:p>
      <w:pPr>
        <w:spacing w:after="0" w:line="357"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SCIENTIFIC GAMES INTERNATIONAL, INC.</w:t>
      </w:r>
    </w:p>
    <w:p>
      <w:pPr>
        <w:spacing w:after="0" w:line="35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Patrick J. McHugh</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511">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Patrick J. McHugh</w:t>
      </w:r>
    </w:p>
    <w:p>
      <w:pPr>
        <w:spacing w:after="0" w:line="81"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Title: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Additional Guarantor:</w:t>
      </w:r>
    </w:p>
    <w:p>
      <w:pPr>
        <w:spacing w:after="0" w:line="343"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SGP HOLDCO, INC.</w:t>
      </w:r>
    </w:p>
    <w:p>
      <w:pPr>
        <w:spacing w:after="0" w:line="310"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Patrick J. McHugh</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512">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Patrick J. McHugh</w:t>
      </w:r>
    </w:p>
    <w:p>
      <w:pPr>
        <w:spacing w:after="0" w:line="81" w:lineRule="exact"/>
        <w:rPr>
          <w:rFonts w:ascii="Arial" w:cs="Arial" w:eastAsia="Arial" w:hAnsi="Arial"/>
          <w:sz w:val="20"/>
          <w:szCs w:val="20"/>
          <w:color w:val="auto"/>
        </w:rPr>
      </w:pPr>
    </w:p>
    <w:p>
      <w:pPr>
        <w:ind w:left="3360"/>
        <w:spacing w:after="0"/>
        <w:tabs>
          <w:tab w:leader="none" w:pos="3980" w:val="left"/>
        </w:tabs>
        <w:rPr>
          <w:sz w:val="20"/>
          <w:szCs w:val="20"/>
          <w:color w:val="auto"/>
        </w:rPr>
      </w:pPr>
      <w:r>
        <w:rPr>
          <w:rFonts w:ascii="Arial" w:cs="Arial" w:eastAsia="Arial" w:hAnsi="Arial"/>
          <w:sz w:val="20"/>
          <w:szCs w:val="20"/>
          <w:color w:val="auto"/>
        </w:rPr>
        <w:t>Title:</w:t>
        <w:tab/>
        <w:t>President, Secretary and Treasurer</w:t>
      </w:r>
    </w:p>
    <w:p>
      <w:pPr>
        <w:spacing w:after="0" w:line="345"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Existing Guarantors:</w:t>
      </w:r>
    </w:p>
    <w:p>
      <w:pPr>
        <w:spacing w:after="0" w:line="357"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SCIENTIFIC GAMES CORPORATION</w:t>
      </w:r>
    </w:p>
    <w:p>
      <w:pPr>
        <w:spacing w:after="0" w:line="35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Constance P. James</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513">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Constance P. James</w:t>
      </w:r>
    </w:p>
    <w:p>
      <w:pPr>
        <w:spacing w:after="0" w:line="81" w:lineRule="exact"/>
        <w:rPr>
          <w:rFonts w:ascii="Arial" w:cs="Arial" w:eastAsia="Arial" w:hAnsi="Arial"/>
          <w:sz w:val="20"/>
          <w:szCs w:val="20"/>
          <w:color w:val="auto"/>
        </w:rPr>
      </w:pPr>
    </w:p>
    <w:p>
      <w:pPr>
        <w:ind w:left="3360"/>
        <w:spacing w:after="0"/>
        <w:tabs>
          <w:tab w:leader="none" w:pos="3980" w:val="left"/>
        </w:tabs>
        <w:rPr>
          <w:sz w:val="20"/>
          <w:szCs w:val="20"/>
          <w:color w:val="auto"/>
        </w:rPr>
      </w:pPr>
      <w:r>
        <w:rPr>
          <w:rFonts w:ascii="Arial" w:cs="Arial" w:eastAsia="Arial" w:hAnsi="Arial"/>
          <w:sz w:val="20"/>
          <w:szCs w:val="20"/>
          <w:color w:val="auto"/>
        </w:rPr>
        <w:t>Title:</w:t>
        <w:tab/>
        <w:t>Executive Vice President, Chief Financial</w:t>
      </w:r>
    </w:p>
    <w:p>
      <w:pPr>
        <w:spacing w:after="0" w:line="81" w:lineRule="exact"/>
        <w:rPr>
          <w:rFonts w:ascii="Arial" w:cs="Arial" w:eastAsia="Arial" w:hAnsi="Arial"/>
          <w:sz w:val="20"/>
          <w:szCs w:val="20"/>
          <w:color w:val="auto"/>
        </w:rPr>
      </w:pPr>
    </w:p>
    <w:p>
      <w:pPr>
        <w:ind w:left="4000"/>
        <w:spacing w:after="0"/>
        <w:rPr>
          <w:sz w:val="20"/>
          <w:szCs w:val="20"/>
          <w:color w:val="auto"/>
        </w:rPr>
      </w:pPr>
      <w:r>
        <w:rPr>
          <w:rFonts w:ascii="Arial" w:cs="Arial" w:eastAsia="Arial" w:hAnsi="Arial"/>
          <w:sz w:val="20"/>
          <w:szCs w:val="20"/>
          <w:color w:val="auto"/>
        </w:rPr>
        <w:t>Officer, Treasurer and Corporate Secretary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Supplemental Indenture – 2026 Senior Unsecured Notes</w:t>
      </w:r>
      <w:r>
        <w:rPr>
          <w:rFonts w:ascii="Arial" w:cs="Arial" w:eastAsia="Arial" w:hAnsi="Arial"/>
          <w:sz w:val="20"/>
          <w:szCs w:val="20"/>
          <w:color w:val="auto"/>
        </w:rPr>
        <w:t>]</w:t>
      </w:r>
    </w:p>
    <w:p>
      <w:pPr>
        <w:sectPr>
          <w:pgSz w:w="11900" w:h="16838" w:orient="portrait"/>
          <w:cols w:equalWidth="0" w:num="1">
            <w:col w:w="11160"/>
          </w:cols>
          <w:pgMar w:left="320" w:top="1440" w:right="419" w:bottom="1440" w:gutter="0" w:footer="0" w:header="0"/>
        </w:sectPr>
      </w:pPr>
    </w:p>
    <w:bookmarkStart w:id="171" w:name="page172"/>
    <w:bookmarkEnd w:id="171"/>
    <w:p>
      <w:pPr>
        <w:spacing w:after="0" w:line="200" w:lineRule="exact"/>
        <w:rPr>
          <w:sz w:val="20"/>
          <w:szCs w:val="20"/>
          <w:color w:val="auto"/>
        </w:rPr>
      </w:pPr>
    </w:p>
    <w:p>
      <w:pPr>
        <w:spacing w:after="0" w:line="265"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SG GAMING, INC.</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Matthew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514">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Matthew Wilson</w:t>
      </w:r>
    </w:p>
    <w:p>
      <w:pPr>
        <w:ind w:left="226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President, Treasurer and Secretary</w:t>
      </w:r>
    </w:p>
    <w:p>
      <w:pPr>
        <w:spacing w:after="0" w:line="31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SG GAMING NORTH AMERICA, INC.</w:t>
      </w:r>
    </w:p>
    <w:p>
      <w:pPr>
        <w:spacing w:after="0" w:line="31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515">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DON BEST SPORTS CORPORATION</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Jordan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516">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Jordan Levin</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Treasurer and Secretary</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MDI ENTERTAINMENT, LLC</w:t>
      </w:r>
    </w:p>
    <w:p>
      <w:pPr>
        <w:spacing w:after="0" w:line="33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ind w:left="2260"/>
        <w:spacing w:after="0"/>
        <w:rPr>
          <w:sz w:val="20"/>
          <w:szCs w:val="20"/>
          <w:color w:val="auto"/>
        </w:rPr>
      </w:pPr>
      <w:r>
        <w:rPr>
          <w:rFonts w:ascii="Arial" w:cs="Arial" w:eastAsia="Arial" w:hAnsi="Arial"/>
          <w:sz w:val="16"/>
          <w:szCs w:val="16"/>
          <w:color w:val="auto"/>
        </w:rPr>
        <w:t>Scientific Games International, Inc., its sole member/manager</w:t>
      </w:r>
    </w:p>
    <w:p>
      <w:pPr>
        <w:spacing w:after="0" w:line="340"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517">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54"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and Chief Executive Officer,</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Secretary and Treasurer</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SCIENTIFIC GAMES NEW JERSEY, LLC</w:t>
      </w:r>
    </w:p>
    <w:p>
      <w:pPr>
        <w:spacing w:after="0" w:line="33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ind w:left="2260"/>
        <w:spacing w:after="0"/>
        <w:rPr>
          <w:sz w:val="20"/>
          <w:szCs w:val="20"/>
          <w:color w:val="auto"/>
        </w:rPr>
      </w:pPr>
      <w:r>
        <w:rPr>
          <w:rFonts w:ascii="Arial" w:cs="Arial" w:eastAsia="Arial" w:hAnsi="Arial"/>
          <w:sz w:val="16"/>
          <w:szCs w:val="16"/>
          <w:color w:val="auto"/>
        </w:rPr>
        <w:t>Scientific Games International, Inc., its sole member/manager</w:t>
      </w:r>
    </w:p>
    <w:p>
      <w:pPr>
        <w:spacing w:after="0" w:line="354"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518">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54"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and Chief Executive Officer,</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Secretary and Treasurer</w:t>
      </w:r>
    </w:p>
    <w:p>
      <w:pPr>
        <w:sectPr>
          <w:pgSz w:w="11900" w:h="16838" w:orient="portrait"/>
          <w:cols w:equalWidth="0" w:num="1">
            <w:col w:w="9019"/>
          </w:cols>
          <w:pgMar w:left="1440" w:top="1440" w:right="1440" w:bottom="9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2026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955" w:gutter="0" w:footer="0" w:header="0"/>
          <w:type w:val="continuous"/>
        </w:sectPr>
      </w:pPr>
    </w:p>
    <w:bookmarkStart w:id="172" w:name="page173"/>
    <w:bookmarkEnd w:id="172"/>
    <w:p>
      <w:pPr>
        <w:spacing w:after="0" w:line="290"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NYX DIGITAL GAMING (USA), LLC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Scientific Games Corporation, its sole member</w:t>
      </w:r>
    </w:p>
    <w:p>
      <w:pPr>
        <w:spacing w:after="0" w:line="33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519">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Constance P. James</w:t>
      </w:r>
    </w:p>
    <w:p>
      <w:pPr>
        <w:ind w:left="224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Executive Vice President, Chief Financial</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Officer, Treasurer and Corporate Secretary</w:t>
      </w:r>
    </w:p>
    <w:p>
      <w:pPr>
        <w:spacing w:after="0" w:line="289"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SCIENTIFIC GAMES, INC.</w:t>
      </w:r>
    </w:p>
    <w:p>
      <w:pPr>
        <w:spacing w:after="0" w:line="319"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520">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Secretary and Treasurer</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SCIENTIFIC GAMES PRODUCTS, LLC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SGP Holdco, Inc., its sole member</w:t>
      </w:r>
    </w:p>
    <w:p>
      <w:pPr>
        <w:spacing w:after="0" w:line="33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521">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2026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73" w:name="page174"/>
    <w:bookmarkEnd w:id="173"/>
    <w:p>
      <w:pPr>
        <w:spacing w:after="0" w:line="200" w:lineRule="exact"/>
        <w:rPr>
          <w:sz w:val="20"/>
          <w:szCs w:val="20"/>
          <w:color w:val="auto"/>
        </w:rPr>
      </w:pPr>
    </w:p>
    <w:p>
      <w:pPr>
        <w:spacing w:after="0" w:line="327"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Trustee:</w:t>
      </w:r>
    </w:p>
    <w:p>
      <w:pPr>
        <w:spacing w:after="0" w:line="357" w:lineRule="exact"/>
        <w:rPr>
          <w:sz w:val="20"/>
          <w:szCs w:val="20"/>
          <w:color w:val="auto"/>
        </w:rPr>
      </w:pPr>
    </w:p>
    <w:p>
      <w:pPr>
        <w:jc w:val="right"/>
        <w:ind w:right="1199"/>
        <w:spacing w:after="0"/>
        <w:rPr>
          <w:sz w:val="20"/>
          <w:szCs w:val="20"/>
          <w:color w:val="auto"/>
        </w:rPr>
      </w:pPr>
      <w:r>
        <w:rPr>
          <w:rFonts w:ascii="Arial" w:cs="Arial" w:eastAsia="Arial" w:hAnsi="Arial"/>
          <w:sz w:val="20"/>
          <w:szCs w:val="20"/>
          <w:color w:val="auto"/>
        </w:rPr>
        <w:t>DEUTSCHE BANK TRUST COMPANY AMERICAS</w:t>
      </w:r>
    </w:p>
    <w:p>
      <w:pPr>
        <w:spacing w:after="0" w:line="337" w:lineRule="exact"/>
        <w:rPr>
          <w:sz w:val="20"/>
          <w:szCs w:val="20"/>
          <w:color w:val="auto"/>
        </w:rPr>
      </w:pPr>
    </w:p>
    <w:p>
      <w:pPr>
        <w:ind w:left="340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Chris Niesz</w:t>
      </w:r>
    </w:p>
    <w:p>
      <w:pPr>
        <w:spacing w:after="0" w:line="81" w:lineRule="exact"/>
        <w:rPr>
          <w:sz w:val="20"/>
          <w:szCs w:val="20"/>
          <w:color w:val="auto"/>
        </w:rPr>
      </w:pPr>
    </w:p>
    <w:p>
      <w:pPr>
        <w:ind w:left="3400"/>
        <w:spacing w:after="0"/>
        <w:tabs>
          <w:tab w:leader="none" w:pos="47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6"/>
          <w:szCs w:val="16"/>
          <w:color w:val="auto"/>
        </w:rPr>
        <w:t>Chris Niesz</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Its: Authorized Signatory</w:t>
      </w:r>
    </w:p>
    <w:p>
      <w:pPr>
        <w:spacing w:after="0" w:line="351" w:lineRule="exact"/>
        <w:rPr>
          <w:sz w:val="20"/>
          <w:szCs w:val="20"/>
          <w:color w:val="auto"/>
        </w:rPr>
      </w:pPr>
    </w:p>
    <w:p>
      <w:pPr>
        <w:ind w:left="340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Sebastian Hidalgo</w:t>
      </w:r>
    </w:p>
    <w:p>
      <w:pPr>
        <w:spacing w:after="0" w:line="81" w:lineRule="exact"/>
        <w:rPr>
          <w:sz w:val="20"/>
          <w:szCs w:val="20"/>
          <w:color w:val="auto"/>
        </w:rPr>
      </w:pPr>
    </w:p>
    <w:p>
      <w:pPr>
        <w:ind w:left="3400"/>
        <w:spacing w:after="0"/>
        <w:tabs>
          <w:tab w:leader="none" w:pos="47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6"/>
          <w:szCs w:val="16"/>
          <w:color w:val="auto"/>
        </w:rPr>
        <w:t>Sebastian Hidalgo</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2026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20"/>
          <w:szCs w:val="20"/>
          <w:b w:val="1"/>
          <w:bCs w:val="1"/>
          <w:color w:val="auto"/>
        </w:rPr>
        <w:t>Exhibit 4.68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firstLine="1296"/>
        <w:spacing w:after="0" w:line="213" w:lineRule="auto"/>
        <w:rPr>
          <w:sz w:val="20"/>
          <w:szCs w:val="20"/>
          <w:color w:val="auto"/>
        </w:rPr>
      </w:pPr>
      <w:r>
        <w:rPr>
          <w:rFonts w:ascii="Arial" w:cs="Arial" w:eastAsia="Arial" w:hAnsi="Arial"/>
          <w:sz w:val="20"/>
          <w:szCs w:val="20"/>
          <w:color w:val="auto"/>
        </w:rPr>
        <w:t>SUPPLEMENTAL INDENTURE, dated as of October 19, 2021 (this “Supplemental Indenture”), by and among Scientific Games International, Inc., a Delaware corporation (the “Company”), the Guarantors (as defined in the indenture referred to herein), SGP Holdco, Inc., a Delaware corporation (the “Additional Guarantor”), and Deutsche Bank Trust Company Americas, a New York banking corporation, as trustee (the “Trustee”).</w:t>
      </w:r>
    </w:p>
    <w:p>
      <w:pPr>
        <w:spacing w:after="0" w:line="156" w:lineRule="exact"/>
        <w:rPr>
          <w:sz w:val="20"/>
          <w:szCs w:val="20"/>
          <w:color w:val="auto"/>
        </w:rPr>
      </w:pPr>
    </w:p>
    <w:p>
      <w:pPr>
        <w:ind w:right="200" w:firstLine="1296"/>
        <w:spacing w:after="0" w:line="242" w:lineRule="auto"/>
        <w:rPr>
          <w:sz w:val="20"/>
          <w:szCs w:val="20"/>
          <w:color w:val="auto"/>
        </w:rPr>
      </w:pPr>
      <w:r>
        <w:rPr>
          <w:rFonts w:ascii="Arial" w:cs="Arial" w:eastAsia="Arial" w:hAnsi="Arial"/>
          <w:sz w:val="19"/>
          <w:szCs w:val="19"/>
          <w:color w:val="auto"/>
        </w:rPr>
        <w:t>WHEREAS, the Company, the original Guarantors and the Trustee executed an Indenture, dated as of November 26, 2019, as amended and supplemented (the “Indenture”), relating to the Company’s 7.000% Senior Unsecured Notes due 2028;</w:t>
      </w:r>
    </w:p>
    <w:p>
      <w:pPr>
        <w:spacing w:after="0" w:line="153" w:lineRule="exact"/>
        <w:rPr>
          <w:sz w:val="20"/>
          <w:szCs w:val="20"/>
          <w:color w:val="auto"/>
        </w:rPr>
      </w:pPr>
    </w:p>
    <w:p>
      <w:pPr>
        <w:ind w:right="80" w:firstLine="1296"/>
        <w:spacing w:after="0" w:line="218" w:lineRule="auto"/>
        <w:rPr>
          <w:sz w:val="20"/>
          <w:szCs w:val="20"/>
          <w:color w:val="auto"/>
        </w:rPr>
      </w:pPr>
      <w:r>
        <w:rPr>
          <w:rFonts w:ascii="Arial" w:cs="Arial" w:eastAsia="Arial" w:hAnsi="Arial"/>
          <w:sz w:val="20"/>
          <w:szCs w:val="20"/>
          <w:color w:val="auto"/>
        </w:rPr>
        <w:t>WHEREAS, under certain circumstances, Section 10.17 of the Indenture requires the Company to cause each of the Company’s Restricted Subsidiaries to execute and deliver to the Trustee a supplemental indenture and thereby become a Guarantor bound by the Guarantee of the Securities on the terms set forth in Article Ten of the Indenture;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w:t>
      </w:r>
    </w:p>
    <w:p>
      <w:pPr>
        <w:spacing w:after="0"/>
        <w:rPr>
          <w:sz w:val="20"/>
          <w:szCs w:val="20"/>
          <w:color w:val="auto"/>
        </w:rPr>
      </w:pPr>
      <w:r>
        <w:rPr>
          <w:rFonts w:ascii="Arial" w:cs="Arial" w:eastAsia="Arial" w:hAnsi="Arial"/>
          <w:sz w:val="20"/>
          <w:szCs w:val="20"/>
          <w:color w:val="auto"/>
        </w:rPr>
        <w:t>Indenture; and</w:t>
      </w:r>
    </w:p>
    <w:p>
      <w:pPr>
        <w:spacing w:after="0" w:line="159" w:lineRule="exact"/>
        <w:rPr>
          <w:sz w:val="20"/>
          <w:szCs w:val="20"/>
          <w:color w:val="auto"/>
        </w:rPr>
      </w:pPr>
    </w:p>
    <w:p>
      <w:pPr>
        <w:ind w:right="120" w:firstLine="1296"/>
        <w:spacing w:after="0" w:line="229" w:lineRule="auto"/>
        <w:rPr>
          <w:sz w:val="20"/>
          <w:szCs w:val="20"/>
          <w:color w:val="auto"/>
        </w:rPr>
      </w:pPr>
      <w:r>
        <w:rPr>
          <w:rFonts w:ascii="Arial" w:cs="Arial" w:eastAsia="Arial" w:hAnsi="Arial"/>
          <w:sz w:val="20"/>
          <w:szCs w:val="20"/>
          <w:color w:val="auto"/>
        </w:rPr>
        <w:t>WHEREAS, except as otherwise defined herein in this Supplemental Indenture, capitalized terms used in this Supplemental Indenture have the meanings specified in the Indenture;</w:t>
      </w:r>
    </w:p>
    <w:p>
      <w:pPr>
        <w:spacing w:after="0" w:line="155" w:lineRule="exact"/>
        <w:rPr>
          <w:sz w:val="20"/>
          <w:szCs w:val="20"/>
          <w:color w:val="auto"/>
        </w:rPr>
      </w:pPr>
    </w:p>
    <w:p>
      <w:pPr>
        <w:ind w:right="240" w:firstLine="1296"/>
        <w:spacing w:after="0" w:line="229" w:lineRule="auto"/>
        <w:rPr>
          <w:sz w:val="20"/>
          <w:szCs w:val="20"/>
          <w:color w:val="auto"/>
        </w:rPr>
      </w:pPr>
      <w:r>
        <w:rPr>
          <w:rFonts w:ascii="Arial" w:cs="Arial" w:eastAsia="Arial" w:hAnsi="Arial"/>
          <w:sz w:val="20"/>
          <w:szCs w:val="20"/>
          <w:color w:val="auto"/>
        </w:rPr>
        <w:t>NOW, THEREFORE, in consideration of the above premises, each party agrees, for the benefit of the other parties and for the equal and ratable benefit of the Holders of the Securities, as follows:</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ONE</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AMENDMENT</w:t>
      </w:r>
    </w:p>
    <w:p>
      <w:pPr>
        <w:spacing w:after="0" w:line="175" w:lineRule="exact"/>
        <w:rPr>
          <w:sz w:val="20"/>
          <w:szCs w:val="20"/>
          <w:color w:val="auto"/>
        </w:rPr>
      </w:pPr>
    </w:p>
    <w:p>
      <w:pPr>
        <w:ind w:right="160" w:firstLine="1296"/>
        <w:spacing w:after="0" w:line="229"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Amendment</w:t>
      </w:r>
      <w:r>
        <w:rPr>
          <w:rFonts w:ascii="Arial" w:cs="Arial" w:eastAsia="Arial" w:hAnsi="Arial"/>
          <w:sz w:val="20"/>
          <w:szCs w:val="20"/>
          <w:color w:val="auto"/>
        </w:rPr>
        <w:t>. The Additional Guarantor hereby agrees to become a Guarantor bound by the Guarantee of the Securities on the terms set forth in Article Ten of the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TWO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 PROVISIONS</w:t>
      </w:r>
    </w:p>
    <w:p>
      <w:pPr>
        <w:spacing w:after="0" w:line="175" w:lineRule="exact"/>
        <w:rPr>
          <w:sz w:val="20"/>
          <w:szCs w:val="20"/>
          <w:color w:val="auto"/>
        </w:rPr>
      </w:pPr>
    </w:p>
    <w:p>
      <w:pPr>
        <w:ind w:right="800" w:firstLine="1296"/>
        <w:spacing w:after="0" w:line="229"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Indenture</w:t>
      </w:r>
      <w:r>
        <w:rPr>
          <w:rFonts w:ascii="Arial" w:cs="Arial" w:eastAsia="Arial" w:hAnsi="Arial"/>
          <w:sz w:val="20"/>
          <w:szCs w:val="20"/>
          <w:color w:val="auto"/>
        </w:rPr>
        <w:t>. Except as amended hereby, the Indenture and the Securities are in all respects ratified and confirmed and all their terms shall remain in full force and effect.</w:t>
      </w:r>
    </w:p>
    <w:p>
      <w:pPr>
        <w:spacing w:after="0" w:line="155" w:lineRule="exact"/>
        <w:rPr>
          <w:sz w:val="20"/>
          <w:szCs w:val="20"/>
          <w:color w:val="auto"/>
        </w:rPr>
      </w:pPr>
    </w:p>
    <w:p>
      <w:pPr>
        <w:ind w:firstLine="1296"/>
        <w:spacing w:after="0" w:line="218"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Trustee’s Disclaimer</w:t>
      </w:r>
      <w:r>
        <w:rPr>
          <w:rFonts w:ascii="Arial" w:cs="Arial" w:eastAsia="Arial" w:hAnsi="Arial"/>
          <w:sz w:val="20"/>
          <w:szCs w:val="20"/>
          <w:color w:val="auto"/>
        </w:rPr>
        <w:t>. The Trustee shall not be responsible for or in respect of the validity or sufficiency of this Supplemental Indenture or for or in respect of the recitals contained herein, all of which recitals are made solely by the Company and the Additional Guarantor.</w:t>
      </w:r>
    </w:p>
    <w:p>
      <w:pPr>
        <w:spacing w:after="0" w:line="156" w:lineRule="exact"/>
        <w:rPr>
          <w:sz w:val="20"/>
          <w:szCs w:val="20"/>
          <w:color w:val="auto"/>
        </w:rPr>
      </w:pPr>
    </w:p>
    <w:p>
      <w:pPr>
        <w:ind w:right="20" w:firstLine="1296"/>
        <w:spacing w:after="0" w:line="213"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SHALL BE GOVERNED BY AND CONSTRUED IN ACCORDANCE WITH THE LAWS OF THE STATE OF NEW YORK, BUT WITHOUT GIVING EFFECT TO APPLICABLE PRINCIPLES OF CONFLICTS OF LAWS TO THE EXTENT THAT THE APPLICATION OF THE LAW OF ANOTHER JURISDICTION WOULD BE REQUIRED THEREBY.</w:t>
      </w:r>
    </w:p>
    <w:p>
      <w:pPr>
        <w:spacing w:after="0" w:line="156" w:lineRule="exact"/>
        <w:rPr>
          <w:sz w:val="20"/>
          <w:szCs w:val="20"/>
          <w:color w:val="auto"/>
        </w:rPr>
      </w:pPr>
    </w:p>
    <w:p>
      <w:pPr>
        <w:ind w:right="300" w:firstLine="1296"/>
        <w:spacing w:after="0" w:line="229"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Counterparts</w:t>
      </w:r>
      <w:r>
        <w:rPr>
          <w:rFonts w:ascii="Arial" w:cs="Arial" w:eastAsia="Arial" w:hAnsi="Arial"/>
          <w:sz w:val="20"/>
          <w:szCs w:val="20"/>
          <w:color w:val="auto"/>
        </w:rPr>
        <w:t>. This Supplemental Indenture may be executed in any number of counterparts, each of which shall be an original, but all of them together shall represent the same agreement.</w:t>
      </w:r>
    </w:p>
    <w:p>
      <w:pPr>
        <w:spacing w:after="0" w:line="155"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Headings</w:t>
      </w:r>
      <w:r>
        <w:rPr>
          <w:rFonts w:ascii="Arial" w:cs="Arial" w:eastAsia="Arial" w:hAnsi="Arial"/>
          <w:sz w:val="20"/>
          <w:szCs w:val="20"/>
          <w:color w:val="auto"/>
        </w:rPr>
        <w:t>. The Article and Section headings in this Supplemental Indenture are for convenience only and shall not affect the construction of this Supplemental Indenture.</w:t>
      </w:r>
    </w:p>
    <w:p>
      <w:pPr>
        <w:sectPr>
          <w:pgSz w:w="11900" w:h="16838" w:orient="portrait"/>
          <w:cols w:equalWidth="0" w:num="1">
            <w:col w:w="11240"/>
          </w:cols>
          <w:pgMar w:left="320" w:top="130" w:right="339" w:bottom="1440" w:gutter="0" w:footer="0" w:header="0"/>
        </w:sectPr>
      </w:pPr>
    </w:p>
    <w:bookmarkStart w:id="175" w:name="page176"/>
    <w:bookmarkEnd w:id="175"/>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(REMAINDER OF PAGE INTENTIONALLY LEFT BLANK)</w:t>
      </w:r>
    </w:p>
    <w:p>
      <w:pPr>
        <w:sectPr>
          <w:pgSz w:w="11900" w:h="16838" w:orient="portrait"/>
          <w:cols w:equalWidth="0" w:num="1">
            <w:col w:w="9019"/>
          </w:cols>
          <w:pgMar w:left="1440" w:top="1440" w:right="1440" w:bottom="1440" w:gutter="0" w:footer="0" w:header="0"/>
        </w:sectPr>
      </w:pPr>
    </w:p>
    <w:bookmarkStart w:id="176" w:name="page177"/>
    <w:bookmarkEnd w:id="176"/>
    <w:p>
      <w:pPr>
        <w:spacing w:after="0" w:line="225" w:lineRule="auto"/>
        <w:framePr w:w="3140" w:h="433" w:wrap="auto" w:vAnchor="page" w:hAnchor="page" w:x="4280" w:y="4756"/>
        <w:rPr>
          <w:rFonts w:ascii="Arial" w:cs="Arial" w:eastAsia="Arial" w:hAnsi="Arial"/>
          <w:sz w:val="20"/>
          <w:szCs w:val="20"/>
          <w:color w:val="auto"/>
        </w:rPr>
      </w:pPr>
      <w:r>
        <w:rPr>
          <w:rFonts w:ascii="Arial" w:cs="Arial" w:eastAsia="Arial" w:hAnsi="Arial"/>
          <w:sz w:val="20"/>
          <w:szCs w:val="20"/>
          <w:color w:val="auto"/>
        </w:rPr>
        <w:t>President and Chief Executive Officer, Secretary and Treasurer</w:t>
      </w:r>
    </w:p>
    <w:p>
      <w:pPr>
        <w:spacing w:after="0" w:line="141" w:lineRule="exact"/>
        <w:rPr>
          <w:rFonts w:ascii="Arial" w:cs="Arial" w:eastAsia="Arial" w:hAnsi="Arial"/>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SIGNATURES</w:t>
      </w:r>
    </w:p>
    <w:p>
      <w:pPr>
        <w:spacing w:after="0" w:line="175" w:lineRule="exact"/>
        <w:rPr>
          <w:rFonts w:ascii="Arial" w:cs="Arial" w:eastAsia="Arial" w:hAnsi="Arial"/>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written above.</w:t>
      </w:r>
    </w:p>
    <w:p>
      <w:pPr>
        <w:spacing w:after="0" w:line="200" w:lineRule="exact"/>
        <w:rPr>
          <w:rFonts w:ascii="Arial" w:cs="Arial" w:eastAsia="Arial" w:hAnsi="Arial"/>
          <w:sz w:val="20"/>
          <w:szCs w:val="20"/>
          <w:color w:val="auto"/>
        </w:rPr>
      </w:pPr>
    </w:p>
    <w:p>
      <w:pPr>
        <w:spacing w:after="0" w:line="273"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Company:</w:t>
      </w:r>
    </w:p>
    <w:p>
      <w:pPr>
        <w:spacing w:after="0" w:line="357"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SCIENTIFIC GAMES INTERNATIONAL, INC.</w:t>
      </w:r>
    </w:p>
    <w:p>
      <w:pPr>
        <w:spacing w:after="0" w:line="35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Patrick J. McHugh</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522">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Patrick J. McHugh</w:t>
      </w:r>
    </w:p>
    <w:p>
      <w:pPr>
        <w:spacing w:after="0" w:line="81"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Title: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Additional Guarantor:</w:t>
      </w:r>
    </w:p>
    <w:p>
      <w:pPr>
        <w:spacing w:after="0" w:line="343"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SGP HOLDCO, INC.</w:t>
      </w:r>
    </w:p>
    <w:p>
      <w:pPr>
        <w:spacing w:after="0" w:line="310"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Patrick J. McHugh</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523">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Patrick J. McHugh</w:t>
      </w:r>
    </w:p>
    <w:p>
      <w:pPr>
        <w:spacing w:after="0" w:line="81" w:lineRule="exact"/>
        <w:rPr>
          <w:rFonts w:ascii="Arial" w:cs="Arial" w:eastAsia="Arial" w:hAnsi="Arial"/>
          <w:sz w:val="20"/>
          <w:szCs w:val="20"/>
          <w:color w:val="auto"/>
        </w:rPr>
      </w:pPr>
    </w:p>
    <w:p>
      <w:pPr>
        <w:ind w:left="3360"/>
        <w:spacing w:after="0"/>
        <w:tabs>
          <w:tab w:leader="none" w:pos="3980" w:val="left"/>
        </w:tabs>
        <w:rPr>
          <w:sz w:val="20"/>
          <w:szCs w:val="20"/>
          <w:color w:val="auto"/>
        </w:rPr>
      </w:pPr>
      <w:r>
        <w:rPr>
          <w:rFonts w:ascii="Arial" w:cs="Arial" w:eastAsia="Arial" w:hAnsi="Arial"/>
          <w:sz w:val="20"/>
          <w:szCs w:val="20"/>
          <w:color w:val="auto"/>
        </w:rPr>
        <w:t>Title:</w:t>
        <w:tab/>
        <w:t>President, Secretary and Treasurer</w:t>
      </w:r>
    </w:p>
    <w:p>
      <w:pPr>
        <w:spacing w:after="0" w:line="345"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Existing Guarantors:</w:t>
      </w:r>
    </w:p>
    <w:p>
      <w:pPr>
        <w:spacing w:after="0" w:line="357"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SCIENTIFIC GAMES CORPORATION</w:t>
      </w:r>
    </w:p>
    <w:p>
      <w:pPr>
        <w:spacing w:after="0" w:line="35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Constance P. James</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524">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Constance P. James</w:t>
      </w:r>
    </w:p>
    <w:p>
      <w:pPr>
        <w:spacing w:after="0" w:line="81" w:lineRule="exact"/>
        <w:rPr>
          <w:rFonts w:ascii="Arial" w:cs="Arial" w:eastAsia="Arial" w:hAnsi="Arial"/>
          <w:sz w:val="20"/>
          <w:szCs w:val="20"/>
          <w:color w:val="auto"/>
        </w:rPr>
      </w:pPr>
    </w:p>
    <w:p>
      <w:pPr>
        <w:ind w:left="3360"/>
        <w:spacing w:after="0"/>
        <w:tabs>
          <w:tab w:leader="none" w:pos="3980" w:val="left"/>
        </w:tabs>
        <w:rPr>
          <w:sz w:val="20"/>
          <w:szCs w:val="20"/>
          <w:color w:val="auto"/>
        </w:rPr>
      </w:pPr>
      <w:r>
        <w:rPr>
          <w:rFonts w:ascii="Arial" w:cs="Arial" w:eastAsia="Arial" w:hAnsi="Arial"/>
          <w:sz w:val="20"/>
          <w:szCs w:val="20"/>
          <w:color w:val="auto"/>
        </w:rPr>
        <w:t>Title:</w:t>
        <w:tab/>
        <w:t>Executive Vice President, Chief Financial</w:t>
      </w:r>
    </w:p>
    <w:p>
      <w:pPr>
        <w:spacing w:after="0" w:line="81" w:lineRule="exact"/>
        <w:rPr>
          <w:rFonts w:ascii="Arial" w:cs="Arial" w:eastAsia="Arial" w:hAnsi="Arial"/>
          <w:sz w:val="20"/>
          <w:szCs w:val="20"/>
          <w:color w:val="auto"/>
        </w:rPr>
      </w:pPr>
    </w:p>
    <w:p>
      <w:pPr>
        <w:ind w:left="4000"/>
        <w:spacing w:after="0"/>
        <w:rPr>
          <w:sz w:val="20"/>
          <w:szCs w:val="20"/>
          <w:color w:val="auto"/>
        </w:rPr>
      </w:pPr>
      <w:r>
        <w:rPr>
          <w:rFonts w:ascii="Arial" w:cs="Arial" w:eastAsia="Arial" w:hAnsi="Arial"/>
          <w:sz w:val="20"/>
          <w:szCs w:val="20"/>
          <w:color w:val="auto"/>
        </w:rPr>
        <w:t>Officer, Treasurer and Corporate Secretary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98" w:lineRule="exact"/>
        <w:rPr>
          <w:rFonts w:ascii="Arial" w:cs="Arial" w:eastAsia="Arial" w:hAnsi="Arial"/>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Supplemental Indenture – 2028 Senior Unsecured Notes</w:t>
      </w:r>
      <w:r>
        <w:rPr>
          <w:rFonts w:ascii="Arial" w:cs="Arial" w:eastAsia="Arial" w:hAnsi="Arial"/>
          <w:sz w:val="20"/>
          <w:szCs w:val="20"/>
          <w:color w:val="auto"/>
        </w:rPr>
        <w:t>]</w:t>
      </w:r>
    </w:p>
    <w:p>
      <w:pPr>
        <w:sectPr>
          <w:pgSz w:w="11900" w:h="16838" w:orient="portrait"/>
          <w:cols w:equalWidth="0" w:num="1">
            <w:col w:w="11160"/>
          </w:cols>
          <w:pgMar w:left="320" w:top="1440" w:right="419" w:bottom="1440" w:gutter="0" w:footer="0" w:header="0"/>
        </w:sectPr>
      </w:pPr>
    </w:p>
    <w:bookmarkStart w:id="177" w:name="page178"/>
    <w:bookmarkEnd w:id="177"/>
    <w:p>
      <w:pPr>
        <w:spacing w:after="0" w:line="200" w:lineRule="exact"/>
        <w:rPr>
          <w:sz w:val="20"/>
          <w:szCs w:val="20"/>
          <w:color w:val="auto"/>
        </w:rPr>
      </w:pPr>
    </w:p>
    <w:p>
      <w:pPr>
        <w:spacing w:after="0" w:line="265"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SG GAMING, INC.</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Matthew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525">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Matthew Wilson</w:t>
      </w:r>
    </w:p>
    <w:p>
      <w:pPr>
        <w:ind w:left="226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President, Treasurer and Secretary</w:t>
      </w:r>
    </w:p>
    <w:p>
      <w:pPr>
        <w:spacing w:after="0" w:line="31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SG GAMING NORTH AMERICA, INC.</w:t>
      </w:r>
    </w:p>
    <w:p>
      <w:pPr>
        <w:spacing w:after="0" w:line="31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526">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DON BEST SPORTS CORPORATION</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Jordan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527">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Jordan Levin</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Treasurer and Secretary</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MDI ENTERTAINMENT, LLC</w:t>
      </w:r>
    </w:p>
    <w:p>
      <w:pPr>
        <w:spacing w:after="0" w:line="33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ind w:left="2260"/>
        <w:spacing w:after="0"/>
        <w:rPr>
          <w:sz w:val="20"/>
          <w:szCs w:val="20"/>
          <w:color w:val="auto"/>
        </w:rPr>
      </w:pPr>
      <w:r>
        <w:rPr>
          <w:rFonts w:ascii="Arial" w:cs="Arial" w:eastAsia="Arial" w:hAnsi="Arial"/>
          <w:sz w:val="16"/>
          <w:szCs w:val="16"/>
          <w:color w:val="auto"/>
        </w:rPr>
        <w:t>Scientific Games International, Inc., its sole member/manager</w:t>
      </w:r>
    </w:p>
    <w:p>
      <w:pPr>
        <w:spacing w:after="0" w:line="340"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528">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54"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and Chief Executive Officer,</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Secretary and Treasurer</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SCIENTIFIC GAMES NEW JERSEY, LLC</w:t>
      </w:r>
    </w:p>
    <w:p>
      <w:pPr>
        <w:spacing w:after="0" w:line="33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ind w:left="2260"/>
        <w:spacing w:after="0"/>
        <w:rPr>
          <w:sz w:val="20"/>
          <w:szCs w:val="20"/>
          <w:color w:val="auto"/>
        </w:rPr>
      </w:pPr>
      <w:r>
        <w:rPr>
          <w:rFonts w:ascii="Arial" w:cs="Arial" w:eastAsia="Arial" w:hAnsi="Arial"/>
          <w:sz w:val="16"/>
          <w:szCs w:val="16"/>
          <w:color w:val="auto"/>
        </w:rPr>
        <w:t>Scientific Games International, Inc., its sole member/manager</w:t>
      </w:r>
    </w:p>
    <w:p>
      <w:pPr>
        <w:spacing w:after="0" w:line="354"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529">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54"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and Chief Executive Officer,</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Secretary and Treasurer</w:t>
      </w:r>
    </w:p>
    <w:p>
      <w:pPr>
        <w:sectPr>
          <w:pgSz w:w="11900" w:h="16838" w:orient="portrait"/>
          <w:cols w:equalWidth="0" w:num="1">
            <w:col w:w="9019"/>
          </w:cols>
          <w:pgMar w:left="1440" w:top="1440" w:right="1440" w:bottom="9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2028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955" w:gutter="0" w:footer="0" w:header="0"/>
          <w:type w:val="continuous"/>
        </w:sectPr>
      </w:pPr>
    </w:p>
    <w:bookmarkStart w:id="178" w:name="page179"/>
    <w:bookmarkEnd w:id="178"/>
    <w:p>
      <w:pPr>
        <w:spacing w:after="0" w:line="200" w:lineRule="exact"/>
        <w:rPr>
          <w:sz w:val="20"/>
          <w:szCs w:val="20"/>
          <w:color w:val="auto"/>
        </w:rPr>
      </w:pPr>
    </w:p>
    <w:p>
      <w:pPr>
        <w:spacing w:after="0" w:line="265"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NYX DIGITAL GAMING (USA), LLC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Scientific Games Corporation, its sole member</w:t>
      </w:r>
    </w:p>
    <w:p>
      <w:pPr>
        <w:spacing w:after="0" w:line="33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530">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Constance P. James</w:t>
      </w:r>
    </w:p>
    <w:p>
      <w:pPr>
        <w:ind w:left="224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Executive Vice President, Chief Financial</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Officer, Treasurer and Corporate Secretary</w:t>
      </w:r>
    </w:p>
    <w:p>
      <w:pPr>
        <w:spacing w:after="0" w:line="289"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SCIENTIFIC GAMES, INC.</w:t>
      </w:r>
    </w:p>
    <w:p>
      <w:pPr>
        <w:spacing w:after="0" w:line="319"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531">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Secretary and Treasurer</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SCIENTIFIC GAMES PRODUCTS, LLC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SGP Holdco, Inc., its sole member</w:t>
      </w:r>
    </w:p>
    <w:p>
      <w:pPr>
        <w:spacing w:after="0" w:line="33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532">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Secretary and Treasurer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2028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79" w:name="page180"/>
    <w:bookmarkEnd w:id="179"/>
    <w:p>
      <w:pPr>
        <w:spacing w:after="0" w:line="200" w:lineRule="exact"/>
        <w:rPr>
          <w:sz w:val="20"/>
          <w:szCs w:val="20"/>
          <w:color w:val="auto"/>
        </w:rPr>
      </w:pPr>
    </w:p>
    <w:p>
      <w:pPr>
        <w:spacing w:after="0" w:line="259"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Trustee:</w:t>
      </w:r>
    </w:p>
    <w:p>
      <w:pPr>
        <w:spacing w:after="0" w:line="357" w:lineRule="exact"/>
        <w:rPr>
          <w:sz w:val="20"/>
          <w:szCs w:val="20"/>
          <w:color w:val="auto"/>
        </w:rPr>
      </w:pPr>
    </w:p>
    <w:p>
      <w:pPr>
        <w:jc w:val="right"/>
        <w:ind w:right="1199"/>
        <w:spacing w:after="0"/>
        <w:rPr>
          <w:sz w:val="20"/>
          <w:szCs w:val="20"/>
          <w:color w:val="auto"/>
        </w:rPr>
      </w:pPr>
      <w:r>
        <w:rPr>
          <w:rFonts w:ascii="Arial" w:cs="Arial" w:eastAsia="Arial" w:hAnsi="Arial"/>
          <w:sz w:val="20"/>
          <w:szCs w:val="20"/>
          <w:color w:val="auto"/>
        </w:rPr>
        <w:t>DEUTSCHE BANK TRUST COMPANY AMERICAS</w:t>
      </w:r>
    </w:p>
    <w:p>
      <w:pPr>
        <w:spacing w:after="0" w:line="337" w:lineRule="exact"/>
        <w:rPr>
          <w:sz w:val="20"/>
          <w:szCs w:val="20"/>
          <w:color w:val="auto"/>
        </w:rPr>
      </w:pPr>
    </w:p>
    <w:p>
      <w:pPr>
        <w:ind w:left="340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Chris Niesz</w:t>
      </w:r>
    </w:p>
    <w:p>
      <w:pPr>
        <w:spacing w:after="0" w:line="81" w:lineRule="exact"/>
        <w:rPr>
          <w:sz w:val="20"/>
          <w:szCs w:val="20"/>
          <w:color w:val="auto"/>
        </w:rPr>
      </w:pPr>
    </w:p>
    <w:p>
      <w:pPr>
        <w:ind w:left="3400"/>
        <w:spacing w:after="0"/>
        <w:tabs>
          <w:tab w:leader="none" w:pos="47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6"/>
          <w:szCs w:val="16"/>
          <w:color w:val="auto"/>
        </w:rPr>
        <w:t>Chris Niesz</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Its: Authorized Signatory</w:t>
      </w:r>
    </w:p>
    <w:p>
      <w:pPr>
        <w:spacing w:after="0" w:line="351" w:lineRule="exact"/>
        <w:rPr>
          <w:sz w:val="20"/>
          <w:szCs w:val="20"/>
          <w:color w:val="auto"/>
        </w:rPr>
      </w:pPr>
    </w:p>
    <w:p>
      <w:pPr>
        <w:ind w:left="340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Sebastian Hidalgo</w:t>
      </w:r>
    </w:p>
    <w:p>
      <w:pPr>
        <w:spacing w:after="0" w:line="81" w:lineRule="exact"/>
        <w:rPr>
          <w:sz w:val="20"/>
          <w:szCs w:val="20"/>
          <w:color w:val="auto"/>
        </w:rPr>
      </w:pPr>
    </w:p>
    <w:p>
      <w:pPr>
        <w:ind w:left="3400"/>
        <w:spacing w:after="0"/>
        <w:tabs>
          <w:tab w:leader="none" w:pos="47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6"/>
          <w:szCs w:val="16"/>
          <w:color w:val="auto"/>
        </w:rPr>
        <w:t>Sebastian Hidalgo</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Its: Authorized Signatory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2028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80" w:name="page181"/>
    <w:bookmarkEnd w:id="180"/>
    <w:p>
      <w:pPr>
        <w:jc w:val="right"/>
        <w:spacing w:after="0"/>
        <w:rPr>
          <w:sz w:val="20"/>
          <w:szCs w:val="20"/>
          <w:color w:val="auto"/>
        </w:rPr>
      </w:pPr>
      <w:r>
        <w:rPr>
          <w:rFonts w:ascii="Arial" w:cs="Arial" w:eastAsia="Arial" w:hAnsi="Arial"/>
          <w:sz w:val="20"/>
          <w:szCs w:val="20"/>
          <w:b w:val="1"/>
          <w:bCs w:val="1"/>
          <w:color w:val="auto"/>
        </w:rPr>
        <w:t>Exhibit 4.69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firstLine="1296"/>
        <w:spacing w:after="0" w:line="213" w:lineRule="auto"/>
        <w:rPr>
          <w:sz w:val="20"/>
          <w:szCs w:val="20"/>
          <w:color w:val="auto"/>
        </w:rPr>
      </w:pPr>
      <w:r>
        <w:rPr>
          <w:rFonts w:ascii="Arial" w:cs="Arial" w:eastAsia="Arial" w:hAnsi="Arial"/>
          <w:sz w:val="20"/>
          <w:szCs w:val="20"/>
          <w:color w:val="auto"/>
        </w:rPr>
        <w:t>SUPPLEMENTAL INDENTURE, dated as of October 19, 2021 (this “Supplemental Indenture”), by and among Scientific Games International, Inc., a Delaware corporation (the “Company”), the Guarantors (as defined in the indenture referred to herein), SGP Holdco, Inc., a Delaware corporation (the “Additional Guarantor”), and Deutsche Bank Trust Company Americas, a New York banking corporation, as trustee (the “Trustee”).</w:t>
      </w:r>
    </w:p>
    <w:p>
      <w:pPr>
        <w:spacing w:after="0" w:line="156" w:lineRule="exact"/>
        <w:rPr>
          <w:sz w:val="20"/>
          <w:szCs w:val="20"/>
          <w:color w:val="auto"/>
        </w:rPr>
      </w:pPr>
    </w:p>
    <w:p>
      <w:pPr>
        <w:ind w:right="200" w:firstLine="1296"/>
        <w:spacing w:after="0" w:line="242" w:lineRule="auto"/>
        <w:rPr>
          <w:sz w:val="20"/>
          <w:szCs w:val="20"/>
          <w:color w:val="auto"/>
        </w:rPr>
      </w:pPr>
      <w:r>
        <w:rPr>
          <w:rFonts w:ascii="Arial" w:cs="Arial" w:eastAsia="Arial" w:hAnsi="Arial"/>
          <w:sz w:val="19"/>
          <w:szCs w:val="19"/>
          <w:color w:val="auto"/>
        </w:rPr>
        <w:t>WHEREAS, the Company, the original Guarantors and the Trustee executed an Indenture, dated as of November 26, 2019, as amended and supplemented (the “Indenture”), relating to the Company’s 7.250% Senior Unsecured Notes due 2029;</w:t>
      </w:r>
    </w:p>
    <w:p>
      <w:pPr>
        <w:spacing w:after="0" w:line="153" w:lineRule="exact"/>
        <w:rPr>
          <w:sz w:val="20"/>
          <w:szCs w:val="20"/>
          <w:color w:val="auto"/>
        </w:rPr>
      </w:pPr>
    </w:p>
    <w:p>
      <w:pPr>
        <w:ind w:right="80" w:firstLine="1296"/>
        <w:spacing w:after="0" w:line="218" w:lineRule="auto"/>
        <w:rPr>
          <w:sz w:val="20"/>
          <w:szCs w:val="20"/>
          <w:color w:val="auto"/>
        </w:rPr>
      </w:pPr>
      <w:r>
        <w:rPr>
          <w:rFonts w:ascii="Arial" w:cs="Arial" w:eastAsia="Arial" w:hAnsi="Arial"/>
          <w:sz w:val="20"/>
          <w:szCs w:val="20"/>
          <w:color w:val="auto"/>
        </w:rPr>
        <w:t>WHEREAS, under certain circumstances, Section 10.17 of the Indenture requires the Company to cause each of the Company’s Restricted Subsidiaries to execute and deliver to the Trustee a supplemental indenture and thereby become a Guarantor bound by the Guarantee of the Securities on the terms set forth in Article Ten of the Indenture;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w:t>
      </w:r>
    </w:p>
    <w:p>
      <w:pPr>
        <w:spacing w:after="0"/>
        <w:rPr>
          <w:sz w:val="20"/>
          <w:szCs w:val="20"/>
          <w:color w:val="auto"/>
        </w:rPr>
      </w:pPr>
      <w:r>
        <w:rPr>
          <w:rFonts w:ascii="Arial" w:cs="Arial" w:eastAsia="Arial" w:hAnsi="Arial"/>
          <w:sz w:val="20"/>
          <w:szCs w:val="20"/>
          <w:color w:val="auto"/>
        </w:rPr>
        <w:t>Indenture; and</w:t>
      </w:r>
    </w:p>
    <w:p>
      <w:pPr>
        <w:spacing w:after="0" w:line="159" w:lineRule="exact"/>
        <w:rPr>
          <w:sz w:val="20"/>
          <w:szCs w:val="20"/>
          <w:color w:val="auto"/>
        </w:rPr>
      </w:pPr>
    </w:p>
    <w:p>
      <w:pPr>
        <w:ind w:right="120" w:firstLine="1296"/>
        <w:spacing w:after="0" w:line="229" w:lineRule="auto"/>
        <w:rPr>
          <w:sz w:val="20"/>
          <w:szCs w:val="20"/>
          <w:color w:val="auto"/>
        </w:rPr>
      </w:pPr>
      <w:r>
        <w:rPr>
          <w:rFonts w:ascii="Arial" w:cs="Arial" w:eastAsia="Arial" w:hAnsi="Arial"/>
          <w:sz w:val="20"/>
          <w:szCs w:val="20"/>
          <w:color w:val="auto"/>
        </w:rPr>
        <w:t>WHEREAS, except as otherwise defined herein in this Supplemental Indenture, capitalized terms used in this Supplemental Indenture have the meanings specified in the Indenture;</w:t>
      </w:r>
    </w:p>
    <w:p>
      <w:pPr>
        <w:spacing w:after="0" w:line="155" w:lineRule="exact"/>
        <w:rPr>
          <w:sz w:val="20"/>
          <w:szCs w:val="20"/>
          <w:color w:val="auto"/>
        </w:rPr>
      </w:pPr>
    </w:p>
    <w:p>
      <w:pPr>
        <w:ind w:right="240" w:firstLine="1296"/>
        <w:spacing w:after="0" w:line="229" w:lineRule="auto"/>
        <w:rPr>
          <w:sz w:val="20"/>
          <w:szCs w:val="20"/>
          <w:color w:val="auto"/>
        </w:rPr>
      </w:pPr>
      <w:r>
        <w:rPr>
          <w:rFonts w:ascii="Arial" w:cs="Arial" w:eastAsia="Arial" w:hAnsi="Arial"/>
          <w:sz w:val="20"/>
          <w:szCs w:val="20"/>
          <w:color w:val="auto"/>
        </w:rPr>
        <w:t>NOW, THEREFORE, in consideration of the above premises, each party agrees, for the benefit of the other parties and for the equal and ratable benefit of the Holders of the Securities, as follows:</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ONE</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AMENDMENT</w:t>
      </w:r>
    </w:p>
    <w:p>
      <w:pPr>
        <w:spacing w:after="0" w:line="175" w:lineRule="exact"/>
        <w:rPr>
          <w:sz w:val="20"/>
          <w:szCs w:val="20"/>
          <w:color w:val="auto"/>
        </w:rPr>
      </w:pPr>
    </w:p>
    <w:p>
      <w:pPr>
        <w:ind w:right="160" w:firstLine="1296"/>
        <w:spacing w:after="0" w:line="229"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Amendment</w:t>
      </w:r>
      <w:r>
        <w:rPr>
          <w:rFonts w:ascii="Arial" w:cs="Arial" w:eastAsia="Arial" w:hAnsi="Arial"/>
          <w:sz w:val="20"/>
          <w:szCs w:val="20"/>
          <w:color w:val="auto"/>
        </w:rPr>
        <w:t>. The Additional Guarantor hereby agrees to become a Guarantor bound by the Guarantee of the Securities on the terms set forth in Article Ten of the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TWO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 PROVISIONS</w:t>
      </w:r>
    </w:p>
    <w:p>
      <w:pPr>
        <w:spacing w:after="0" w:line="175" w:lineRule="exact"/>
        <w:rPr>
          <w:sz w:val="20"/>
          <w:szCs w:val="20"/>
          <w:color w:val="auto"/>
        </w:rPr>
      </w:pPr>
    </w:p>
    <w:p>
      <w:pPr>
        <w:ind w:right="800" w:firstLine="1296"/>
        <w:spacing w:after="0" w:line="229"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Indenture</w:t>
      </w:r>
      <w:r>
        <w:rPr>
          <w:rFonts w:ascii="Arial" w:cs="Arial" w:eastAsia="Arial" w:hAnsi="Arial"/>
          <w:sz w:val="20"/>
          <w:szCs w:val="20"/>
          <w:color w:val="auto"/>
        </w:rPr>
        <w:t>. Except as amended hereby, the Indenture and the Securities are in all respects ratified and confirmed and all their terms shall remain in full force and effect.</w:t>
      </w:r>
    </w:p>
    <w:p>
      <w:pPr>
        <w:spacing w:after="0" w:line="155" w:lineRule="exact"/>
        <w:rPr>
          <w:sz w:val="20"/>
          <w:szCs w:val="20"/>
          <w:color w:val="auto"/>
        </w:rPr>
      </w:pPr>
    </w:p>
    <w:p>
      <w:pPr>
        <w:ind w:firstLine="1296"/>
        <w:spacing w:after="0" w:line="218"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Trustee’s Disclaimer</w:t>
      </w:r>
      <w:r>
        <w:rPr>
          <w:rFonts w:ascii="Arial" w:cs="Arial" w:eastAsia="Arial" w:hAnsi="Arial"/>
          <w:sz w:val="20"/>
          <w:szCs w:val="20"/>
          <w:color w:val="auto"/>
        </w:rPr>
        <w:t>. The Trustee shall not be responsible for or in respect of the validity or sufficiency of this Supplemental Indenture or for or in respect of the recitals contained herein, all of which recitals are made solely by the Company and the Additional Guarantor.</w:t>
      </w:r>
    </w:p>
    <w:p>
      <w:pPr>
        <w:spacing w:after="0" w:line="156" w:lineRule="exact"/>
        <w:rPr>
          <w:sz w:val="20"/>
          <w:szCs w:val="20"/>
          <w:color w:val="auto"/>
        </w:rPr>
      </w:pPr>
    </w:p>
    <w:p>
      <w:pPr>
        <w:ind w:right="20" w:firstLine="1296"/>
        <w:spacing w:after="0" w:line="213"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SHALL BE GOVERNED BY AND CONSTRUED IN ACCORDANCE WITH THE LAWS OF THE STATE OF NEW YORK, BUT WITHOUT GIVING EFFECT TO APPLICABLE PRINCIPLES OF CONFLICTS OF LAWS TO THE EXTENT THAT THE APPLICATION OF THE LAW OF ANOTHER JURISDICTION WOULD BE REQUIRED THEREBY.</w:t>
      </w:r>
    </w:p>
    <w:p>
      <w:pPr>
        <w:spacing w:after="0" w:line="156" w:lineRule="exact"/>
        <w:rPr>
          <w:sz w:val="20"/>
          <w:szCs w:val="20"/>
          <w:color w:val="auto"/>
        </w:rPr>
      </w:pPr>
    </w:p>
    <w:p>
      <w:pPr>
        <w:ind w:right="300" w:firstLine="1296"/>
        <w:spacing w:after="0" w:line="229"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Counterparts</w:t>
      </w:r>
      <w:r>
        <w:rPr>
          <w:rFonts w:ascii="Arial" w:cs="Arial" w:eastAsia="Arial" w:hAnsi="Arial"/>
          <w:sz w:val="20"/>
          <w:szCs w:val="20"/>
          <w:color w:val="auto"/>
        </w:rPr>
        <w:t>. This Supplemental Indenture may be executed in any number of counterparts, each of which shall be an original, but all of them together shall represent the same agreement.</w:t>
      </w:r>
    </w:p>
    <w:p>
      <w:pPr>
        <w:spacing w:after="0" w:line="155"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Headings</w:t>
      </w:r>
      <w:r>
        <w:rPr>
          <w:rFonts w:ascii="Arial" w:cs="Arial" w:eastAsia="Arial" w:hAnsi="Arial"/>
          <w:sz w:val="20"/>
          <w:szCs w:val="20"/>
          <w:color w:val="auto"/>
        </w:rPr>
        <w:t>. The Article and Section headings in this Supplemental Indenture are for convenience only and shall not affect the construction of this Supplemental Indenture.</w:t>
      </w:r>
    </w:p>
    <w:p>
      <w:pPr>
        <w:sectPr>
          <w:pgSz w:w="11900" w:h="16838" w:orient="portrait"/>
          <w:cols w:equalWidth="0" w:num="1">
            <w:col w:w="11240"/>
          </w:cols>
          <w:pgMar w:left="320" w:top="130" w:right="339" w:bottom="1440" w:gutter="0" w:footer="0" w:header="0"/>
        </w:sectPr>
      </w:pPr>
    </w:p>
    <w:bookmarkStart w:id="181" w:name="page182"/>
    <w:bookmarkEnd w:id="181"/>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(REMAINDER OF PAGE INTENTIONALLY LEFT BLANK)</w:t>
      </w:r>
    </w:p>
    <w:p>
      <w:pPr>
        <w:sectPr>
          <w:pgSz w:w="11900" w:h="16838" w:orient="portrait"/>
          <w:cols w:equalWidth="0" w:num="1">
            <w:col w:w="9019"/>
          </w:cols>
          <w:pgMar w:left="1440" w:top="1440" w:right="1440" w:bottom="1440" w:gutter="0" w:footer="0" w:header="0"/>
        </w:sectPr>
      </w:pPr>
    </w:p>
    <w:bookmarkStart w:id="182" w:name="page183"/>
    <w:bookmarkEnd w:id="182"/>
    <w:p>
      <w:pPr>
        <w:spacing w:after="0" w:line="225" w:lineRule="auto"/>
        <w:framePr w:w="3140" w:h="433" w:wrap="auto" w:vAnchor="page" w:hAnchor="page" w:x="4280" w:y="4756"/>
        <w:rPr>
          <w:rFonts w:ascii="Arial" w:cs="Arial" w:eastAsia="Arial" w:hAnsi="Arial"/>
          <w:sz w:val="20"/>
          <w:szCs w:val="20"/>
          <w:color w:val="auto"/>
        </w:rPr>
      </w:pPr>
      <w:r>
        <w:rPr>
          <w:rFonts w:ascii="Arial" w:cs="Arial" w:eastAsia="Arial" w:hAnsi="Arial"/>
          <w:sz w:val="20"/>
          <w:szCs w:val="20"/>
          <w:color w:val="auto"/>
        </w:rPr>
        <w:t>President and Chief Executive Officer, Secretary and Treasurer</w:t>
      </w:r>
    </w:p>
    <w:p>
      <w:pPr>
        <w:spacing w:after="0" w:line="141" w:lineRule="exact"/>
        <w:rPr>
          <w:rFonts w:ascii="Arial" w:cs="Arial" w:eastAsia="Arial" w:hAnsi="Arial"/>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SIGNATURES</w:t>
      </w:r>
    </w:p>
    <w:p>
      <w:pPr>
        <w:spacing w:after="0" w:line="175" w:lineRule="exact"/>
        <w:rPr>
          <w:rFonts w:ascii="Arial" w:cs="Arial" w:eastAsia="Arial" w:hAnsi="Arial"/>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written above.</w:t>
      </w:r>
    </w:p>
    <w:p>
      <w:pPr>
        <w:spacing w:after="0" w:line="200" w:lineRule="exact"/>
        <w:rPr>
          <w:rFonts w:ascii="Arial" w:cs="Arial" w:eastAsia="Arial" w:hAnsi="Arial"/>
          <w:sz w:val="20"/>
          <w:szCs w:val="20"/>
          <w:color w:val="auto"/>
        </w:rPr>
      </w:pPr>
    </w:p>
    <w:p>
      <w:pPr>
        <w:spacing w:after="0" w:line="273"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Company:</w:t>
      </w:r>
    </w:p>
    <w:p>
      <w:pPr>
        <w:spacing w:after="0" w:line="357"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SCIENTIFIC GAMES INTERNATIONAL, INC.</w:t>
      </w:r>
    </w:p>
    <w:p>
      <w:pPr>
        <w:spacing w:after="0" w:line="35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Patrick J. McHugh</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533">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Patrick J. McHugh</w:t>
      </w:r>
    </w:p>
    <w:p>
      <w:pPr>
        <w:spacing w:after="0" w:line="81"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Title: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Additional Guarantor:</w:t>
      </w:r>
    </w:p>
    <w:p>
      <w:pPr>
        <w:spacing w:after="0" w:line="343"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SGP HOLDCO, INC.</w:t>
      </w:r>
    </w:p>
    <w:p>
      <w:pPr>
        <w:spacing w:after="0" w:line="310"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Patrick J. McHugh</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534">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Patrick J. McHugh</w:t>
      </w:r>
    </w:p>
    <w:p>
      <w:pPr>
        <w:spacing w:after="0" w:line="81" w:lineRule="exact"/>
        <w:rPr>
          <w:rFonts w:ascii="Arial" w:cs="Arial" w:eastAsia="Arial" w:hAnsi="Arial"/>
          <w:sz w:val="20"/>
          <w:szCs w:val="20"/>
          <w:color w:val="auto"/>
        </w:rPr>
      </w:pPr>
    </w:p>
    <w:p>
      <w:pPr>
        <w:ind w:left="3360"/>
        <w:spacing w:after="0"/>
        <w:tabs>
          <w:tab w:leader="none" w:pos="3980" w:val="left"/>
        </w:tabs>
        <w:rPr>
          <w:sz w:val="20"/>
          <w:szCs w:val="20"/>
          <w:color w:val="auto"/>
        </w:rPr>
      </w:pPr>
      <w:r>
        <w:rPr>
          <w:rFonts w:ascii="Arial" w:cs="Arial" w:eastAsia="Arial" w:hAnsi="Arial"/>
          <w:sz w:val="20"/>
          <w:szCs w:val="20"/>
          <w:color w:val="auto"/>
        </w:rPr>
        <w:t>Title:</w:t>
        <w:tab/>
        <w:t>President, Secretary and Treasurer</w:t>
      </w:r>
    </w:p>
    <w:p>
      <w:pPr>
        <w:spacing w:after="0" w:line="345"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Existing Guarantors:</w:t>
      </w:r>
    </w:p>
    <w:p>
      <w:pPr>
        <w:spacing w:after="0" w:line="357"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SCIENTIFIC GAMES CORPORATION</w:t>
      </w:r>
    </w:p>
    <w:p>
      <w:pPr>
        <w:spacing w:after="0" w:line="351" w:lineRule="exact"/>
        <w:rPr>
          <w:rFonts w:ascii="Arial" w:cs="Arial" w:eastAsia="Arial" w:hAnsi="Arial"/>
          <w:sz w:val="20"/>
          <w:szCs w:val="20"/>
          <w:color w:val="auto"/>
        </w:rPr>
      </w:pPr>
    </w:p>
    <w:p>
      <w:pPr>
        <w:ind w:left="2960"/>
        <w:spacing w:after="0"/>
        <w:rPr>
          <w:sz w:val="20"/>
          <w:szCs w:val="20"/>
          <w:color w:val="auto"/>
        </w:rPr>
      </w:pPr>
      <w:r>
        <w:rPr>
          <w:rFonts w:ascii="Arial" w:cs="Arial" w:eastAsia="Arial" w:hAnsi="Arial"/>
          <w:sz w:val="20"/>
          <w:szCs w:val="20"/>
          <w:color w:val="auto"/>
        </w:rPr>
        <w:t>By: /s/ Constance P. James</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36195</wp:posOffset>
            </wp:positionV>
            <wp:extent cx="41230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535">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rFonts w:ascii="Arial" w:cs="Arial" w:eastAsia="Arial" w:hAnsi="Arial"/>
          <w:sz w:val="20"/>
          <w:szCs w:val="20"/>
          <w:color w:val="auto"/>
        </w:rPr>
      </w:pPr>
    </w:p>
    <w:p>
      <w:pPr>
        <w:ind w:left="3360"/>
        <w:spacing w:after="0"/>
        <w:rPr>
          <w:sz w:val="20"/>
          <w:szCs w:val="20"/>
          <w:color w:val="auto"/>
        </w:rPr>
      </w:pPr>
      <w:r>
        <w:rPr>
          <w:rFonts w:ascii="Arial" w:cs="Arial" w:eastAsia="Arial" w:hAnsi="Arial"/>
          <w:sz w:val="20"/>
          <w:szCs w:val="20"/>
          <w:color w:val="auto"/>
        </w:rPr>
        <w:t>Name: Constance P. James</w:t>
      </w:r>
    </w:p>
    <w:p>
      <w:pPr>
        <w:spacing w:after="0" w:line="81" w:lineRule="exact"/>
        <w:rPr>
          <w:rFonts w:ascii="Arial" w:cs="Arial" w:eastAsia="Arial" w:hAnsi="Arial"/>
          <w:sz w:val="20"/>
          <w:szCs w:val="20"/>
          <w:color w:val="auto"/>
        </w:rPr>
      </w:pPr>
    </w:p>
    <w:p>
      <w:pPr>
        <w:ind w:left="3360"/>
        <w:spacing w:after="0"/>
        <w:tabs>
          <w:tab w:leader="none" w:pos="3980" w:val="left"/>
        </w:tabs>
        <w:rPr>
          <w:sz w:val="20"/>
          <w:szCs w:val="20"/>
          <w:color w:val="auto"/>
        </w:rPr>
      </w:pPr>
      <w:r>
        <w:rPr>
          <w:rFonts w:ascii="Arial" w:cs="Arial" w:eastAsia="Arial" w:hAnsi="Arial"/>
          <w:sz w:val="20"/>
          <w:szCs w:val="20"/>
          <w:color w:val="auto"/>
        </w:rPr>
        <w:t>Title:</w:t>
        <w:tab/>
        <w:t>Executive Vice President, Chief Financial</w:t>
      </w:r>
    </w:p>
    <w:p>
      <w:pPr>
        <w:spacing w:after="0" w:line="81" w:lineRule="exact"/>
        <w:rPr>
          <w:rFonts w:ascii="Arial" w:cs="Arial" w:eastAsia="Arial" w:hAnsi="Arial"/>
          <w:sz w:val="20"/>
          <w:szCs w:val="20"/>
          <w:color w:val="auto"/>
        </w:rPr>
      </w:pPr>
    </w:p>
    <w:p>
      <w:pPr>
        <w:ind w:left="4000"/>
        <w:spacing w:after="0"/>
        <w:rPr>
          <w:sz w:val="20"/>
          <w:szCs w:val="20"/>
          <w:color w:val="auto"/>
        </w:rPr>
      </w:pPr>
      <w:r>
        <w:rPr>
          <w:rFonts w:ascii="Arial" w:cs="Arial" w:eastAsia="Arial" w:hAnsi="Arial"/>
          <w:sz w:val="20"/>
          <w:szCs w:val="20"/>
          <w:color w:val="auto"/>
        </w:rPr>
        <w:t>Officer, Treasurer and Corporate Secretary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Supplemental Indenture – 2029 Senior Secured Notes</w:t>
      </w:r>
      <w:r>
        <w:rPr>
          <w:rFonts w:ascii="Arial" w:cs="Arial" w:eastAsia="Arial" w:hAnsi="Arial"/>
          <w:sz w:val="20"/>
          <w:szCs w:val="20"/>
          <w:color w:val="auto"/>
        </w:rPr>
        <w:t>]</w:t>
      </w:r>
    </w:p>
    <w:p>
      <w:pPr>
        <w:sectPr>
          <w:pgSz w:w="11900" w:h="16838" w:orient="portrait"/>
          <w:cols w:equalWidth="0" w:num="1">
            <w:col w:w="11160"/>
          </w:cols>
          <w:pgMar w:left="320" w:top="1440" w:right="419" w:bottom="1440" w:gutter="0" w:footer="0" w:header="0"/>
        </w:sectPr>
      </w:pPr>
    </w:p>
    <w:bookmarkStart w:id="183" w:name="page184"/>
    <w:bookmarkEnd w:id="183"/>
    <w:p>
      <w:pPr>
        <w:spacing w:after="0" w:line="200" w:lineRule="exact"/>
        <w:rPr>
          <w:sz w:val="20"/>
          <w:szCs w:val="20"/>
          <w:color w:val="auto"/>
        </w:rPr>
      </w:pPr>
    </w:p>
    <w:p>
      <w:pPr>
        <w:spacing w:after="0" w:line="265"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SG GAMING, INC.</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Matthew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536">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Matthew Wilson</w:t>
      </w:r>
    </w:p>
    <w:p>
      <w:pPr>
        <w:ind w:left="226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President, Treasurer and Secretary</w:t>
      </w:r>
    </w:p>
    <w:p>
      <w:pPr>
        <w:spacing w:after="0" w:line="31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SG GAMING NORTH AMERICA, INC.</w:t>
      </w:r>
    </w:p>
    <w:p>
      <w:pPr>
        <w:spacing w:after="0" w:line="31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537">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DON BEST SPORTS CORPORATION</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Jordan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538">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74"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Jordan Levin</w:t>
      </w:r>
    </w:p>
    <w:p>
      <w:pPr>
        <w:spacing w:after="0" w:line="81"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Treasurer and Secretary</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MDI ENTERTAINMENT, LLC</w:t>
      </w:r>
    </w:p>
    <w:p>
      <w:pPr>
        <w:spacing w:after="0" w:line="33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ind w:left="2260"/>
        <w:spacing w:after="0"/>
        <w:rPr>
          <w:sz w:val="20"/>
          <w:szCs w:val="20"/>
          <w:color w:val="auto"/>
        </w:rPr>
      </w:pPr>
      <w:r>
        <w:rPr>
          <w:rFonts w:ascii="Arial" w:cs="Arial" w:eastAsia="Arial" w:hAnsi="Arial"/>
          <w:sz w:val="16"/>
          <w:szCs w:val="16"/>
          <w:color w:val="auto"/>
        </w:rPr>
        <w:t>Scientific Games International, Inc., its sole member/manager</w:t>
      </w:r>
    </w:p>
    <w:p>
      <w:pPr>
        <w:spacing w:after="0" w:line="340"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539">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54"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and Chief Executive Officer,</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Secretary and Treasurer</w:t>
      </w:r>
    </w:p>
    <w:p>
      <w:pPr>
        <w:spacing w:after="0" w:line="35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SCIENTIFIC GAMES NEW JERSEY, LLC</w:t>
      </w:r>
    </w:p>
    <w:p>
      <w:pPr>
        <w:spacing w:after="0" w:line="33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ind w:left="2260"/>
        <w:spacing w:after="0"/>
        <w:rPr>
          <w:sz w:val="20"/>
          <w:szCs w:val="20"/>
          <w:color w:val="auto"/>
        </w:rPr>
      </w:pPr>
      <w:r>
        <w:rPr>
          <w:rFonts w:ascii="Arial" w:cs="Arial" w:eastAsia="Arial" w:hAnsi="Arial"/>
          <w:sz w:val="16"/>
          <w:szCs w:val="16"/>
          <w:color w:val="auto"/>
        </w:rPr>
        <w:t>Scientific Games International, Inc., its sole member/manager</w:t>
      </w:r>
    </w:p>
    <w:p>
      <w:pPr>
        <w:spacing w:after="0" w:line="354"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36195</wp:posOffset>
            </wp:positionV>
            <wp:extent cx="41148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540">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Patrick J. McHugh</w:t>
      </w:r>
    </w:p>
    <w:p>
      <w:pPr>
        <w:spacing w:after="0" w:line="54"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20"/>
          <w:szCs w:val="20"/>
          <w:color w:val="auto"/>
        </w:rPr>
        <w:t>Title:</w:t>
        <w:tab/>
        <w:t>President and Chief Executive Officer,</w:t>
      </w:r>
    </w:p>
    <w:p>
      <w:pPr>
        <w:spacing w:after="0" w:line="8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Secretary and Treasurer</w:t>
      </w:r>
    </w:p>
    <w:p>
      <w:pPr>
        <w:sectPr>
          <w:pgSz w:w="11900" w:h="16838" w:orient="portrait"/>
          <w:cols w:equalWidth="0" w:num="1">
            <w:col w:w="9019"/>
          </w:cols>
          <w:pgMar w:left="1440" w:top="1440" w:right="1440" w:bottom="9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2029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955" w:gutter="0" w:footer="0" w:header="0"/>
          <w:type w:val="continuous"/>
        </w:sectPr>
      </w:pPr>
    </w:p>
    <w:bookmarkStart w:id="184" w:name="page185"/>
    <w:bookmarkEnd w:id="184"/>
    <w:p>
      <w:pPr>
        <w:spacing w:after="0" w:line="200" w:lineRule="exact"/>
        <w:rPr>
          <w:sz w:val="20"/>
          <w:szCs w:val="20"/>
          <w:color w:val="auto"/>
        </w:rPr>
      </w:pPr>
    </w:p>
    <w:p>
      <w:pPr>
        <w:spacing w:after="0" w:line="265"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NYX DIGITAL GAMING (USA), LLC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Scientific Games Corporation, its sole member</w:t>
      </w:r>
    </w:p>
    <w:p>
      <w:pPr>
        <w:spacing w:after="0" w:line="33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541">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Constance P. James</w:t>
      </w:r>
    </w:p>
    <w:p>
      <w:pPr>
        <w:ind w:left="224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Executive Vice President, Chief Financial</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Officer, Treasurer and Corporate Secretary</w:t>
      </w:r>
    </w:p>
    <w:p>
      <w:pPr>
        <w:spacing w:after="0" w:line="289"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SCIENTIFIC GAMES, INC.</w:t>
      </w:r>
    </w:p>
    <w:p>
      <w:pPr>
        <w:spacing w:after="0" w:line="319"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42">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Secretary and Treasurer</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SCIENTIFIC GAMES PRODUCTS, LLC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SGP Holdco, Inc., its sole member</w:t>
      </w:r>
    </w:p>
    <w:p>
      <w:pPr>
        <w:spacing w:after="0" w:line="33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Patrick J.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43">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Patrick J. McHugh</w:t>
      </w:r>
    </w:p>
    <w:p>
      <w:pPr>
        <w:spacing w:after="0" w:line="81"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2029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85" w:name="page186"/>
    <w:bookmarkEnd w:id="185"/>
    <w:p>
      <w:pPr>
        <w:spacing w:after="0" w:line="200" w:lineRule="exact"/>
        <w:rPr>
          <w:sz w:val="20"/>
          <w:szCs w:val="20"/>
          <w:color w:val="auto"/>
        </w:rPr>
      </w:pPr>
    </w:p>
    <w:p>
      <w:pPr>
        <w:spacing w:after="0" w:line="259"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Trustee:</w:t>
      </w:r>
    </w:p>
    <w:p>
      <w:pPr>
        <w:spacing w:after="0" w:line="357" w:lineRule="exact"/>
        <w:rPr>
          <w:sz w:val="20"/>
          <w:szCs w:val="20"/>
          <w:color w:val="auto"/>
        </w:rPr>
      </w:pPr>
    </w:p>
    <w:p>
      <w:pPr>
        <w:jc w:val="right"/>
        <w:ind w:right="1199"/>
        <w:spacing w:after="0"/>
        <w:rPr>
          <w:sz w:val="20"/>
          <w:szCs w:val="20"/>
          <w:color w:val="auto"/>
        </w:rPr>
      </w:pPr>
      <w:r>
        <w:rPr>
          <w:rFonts w:ascii="Arial" w:cs="Arial" w:eastAsia="Arial" w:hAnsi="Arial"/>
          <w:sz w:val="20"/>
          <w:szCs w:val="20"/>
          <w:color w:val="auto"/>
        </w:rPr>
        <w:t>DEUTSCHE BANK TRUST COMPANY AMERICAS</w:t>
      </w:r>
    </w:p>
    <w:p>
      <w:pPr>
        <w:spacing w:after="0" w:line="337" w:lineRule="exact"/>
        <w:rPr>
          <w:sz w:val="20"/>
          <w:szCs w:val="20"/>
          <w:color w:val="auto"/>
        </w:rPr>
      </w:pPr>
    </w:p>
    <w:p>
      <w:pPr>
        <w:ind w:left="340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Chris Niesz</w:t>
      </w:r>
    </w:p>
    <w:p>
      <w:pPr>
        <w:spacing w:after="0" w:line="81" w:lineRule="exact"/>
        <w:rPr>
          <w:sz w:val="20"/>
          <w:szCs w:val="20"/>
          <w:color w:val="auto"/>
        </w:rPr>
      </w:pPr>
    </w:p>
    <w:p>
      <w:pPr>
        <w:ind w:left="3400"/>
        <w:spacing w:after="0"/>
        <w:tabs>
          <w:tab w:leader="none" w:pos="47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6"/>
          <w:szCs w:val="16"/>
          <w:color w:val="auto"/>
        </w:rPr>
        <w:t>Chris Niesz</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Its: Authorized Signatory</w:t>
      </w:r>
    </w:p>
    <w:p>
      <w:pPr>
        <w:spacing w:after="0" w:line="351" w:lineRule="exact"/>
        <w:rPr>
          <w:sz w:val="20"/>
          <w:szCs w:val="20"/>
          <w:color w:val="auto"/>
        </w:rPr>
      </w:pPr>
    </w:p>
    <w:p>
      <w:pPr>
        <w:ind w:left="340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Sebastian Hidalgo</w:t>
      </w:r>
    </w:p>
    <w:p>
      <w:pPr>
        <w:spacing w:after="0" w:line="81" w:lineRule="exact"/>
        <w:rPr>
          <w:sz w:val="20"/>
          <w:szCs w:val="20"/>
          <w:color w:val="auto"/>
        </w:rPr>
      </w:pPr>
    </w:p>
    <w:p>
      <w:pPr>
        <w:ind w:left="3400"/>
        <w:spacing w:after="0"/>
        <w:tabs>
          <w:tab w:leader="none" w:pos="47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6"/>
          <w:szCs w:val="16"/>
          <w:color w:val="auto"/>
        </w:rPr>
        <w:t>Sebastian Hidalgo</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Its: Authorized Signatory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2029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186" w:name="page187"/>
    <w:bookmarkEnd w:id="186"/>
    <w:p>
      <w:pPr>
        <w:jc w:val="right"/>
        <w:spacing w:after="0"/>
        <w:rPr>
          <w:sz w:val="20"/>
          <w:szCs w:val="20"/>
          <w:color w:val="auto"/>
        </w:rPr>
      </w:pPr>
      <w:r>
        <w:rPr>
          <w:rFonts w:ascii="Arial" w:cs="Arial" w:eastAsia="Arial" w:hAnsi="Arial"/>
          <w:sz w:val="20"/>
          <w:szCs w:val="20"/>
          <w:b w:val="1"/>
          <w:bCs w:val="1"/>
          <w:color w:val="auto"/>
        </w:rPr>
        <w:t>Exhibit 10.40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00"/>
        <w:spacing w:after="0"/>
        <w:rPr>
          <w:sz w:val="20"/>
          <w:szCs w:val="20"/>
          <w:color w:val="auto"/>
        </w:rPr>
      </w:pPr>
      <w:r>
        <w:rPr>
          <w:rFonts w:ascii="Arial" w:cs="Arial" w:eastAsia="Arial" w:hAnsi="Arial"/>
          <w:sz w:val="20"/>
          <w:szCs w:val="20"/>
          <w:b w:val="1"/>
          <w:bCs w:val="1"/>
          <w:u w:val="single" w:color="auto"/>
          <w:color w:val="auto"/>
        </w:rPr>
        <w:t>Engagement Letter</w:t>
      </w:r>
    </w:p>
    <w:p>
      <w:pPr>
        <w:spacing w:after="0" w:line="126" w:lineRule="exact"/>
        <w:rPr>
          <w:sz w:val="20"/>
          <w:szCs w:val="20"/>
          <w:color w:val="auto"/>
        </w:rPr>
      </w:pPr>
    </w:p>
    <w:p>
      <w:pPr>
        <w:ind w:left="1200" w:hanging="590"/>
        <w:spacing w:after="0"/>
        <w:tabs>
          <w:tab w:leader="none" w:pos="12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Construct</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All bold-faced terms are referenced to an applicable Statement of Work (SOW).</w:t>
      </w:r>
    </w:p>
    <w:p>
      <w:pPr>
        <w:spacing w:after="0" w:line="149" w:lineRule="exact"/>
        <w:rPr>
          <w:sz w:val="20"/>
          <w:szCs w:val="20"/>
          <w:color w:val="auto"/>
        </w:rPr>
      </w:pPr>
    </w:p>
    <w:p>
      <w:pPr>
        <w:ind w:left="1200" w:hanging="590"/>
        <w:spacing w:after="0"/>
        <w:tabs>
          <w:tab w:leader="none" w:pos="12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The services</w:t>
      </w:r>
    </w:p>
    <w:p>
      <w:pPr>
        <w:spacing w:after="0" w:line="234" w:lineRule="exact"/>
        <w:rPr>
          <w:sz w:val="20"/>
          <w:szCs w:val="20"/>
          <w:color w:val="auto"/>
        </w:rPr>
      </w:pPr>
    </w:p>
    <w:p>
      <w:pPr>
        <w:jc w:val="both"/>
        <w:ind w:firstLine="243"/>
        <w:spacing w:after="0" w:line="219" w:lineRule="auto"/>
        <w:rPr>
          <w:sz w:val="20"/>
          <w:szCs w:val="20"/>
          <w:color w:val="auto"/>
        </w:rPr>
      </w:pPr>
      <w:r>
        <w:rPr>
          <w:rFonts w:ascii="Arial" w:cs="Arial" w:eastAsia="Arial" w:hAnsi="Arial"/>
          <w:sz w:val="18"/>
          <w:szCs w:val="18"/>
          <w:color w:val="auto"/>
        </w:rPr>
        <w:t>2.1 In accordance with the description of the engagement contained in the applicable SOW, the professional services will comprise general accounting and advisory services (</w:t>
      </w:r>
      <w:r>
        <w:rPr>
          <w:rFonts w:ascii="Arial" w:cs="Arial" w:eastAsia="Arial" w:hAnsi="Arial"/>
          <w:sz w:val="18"/>
          <w:szCs w:val="18"/>
          <w:b w:val="1"/>
          <w:bCs w:val="1"/>
          <w:color w:val="auto"/>
        </w:rPr>
        <w:t>Advice</w:t>
      </w:r>
      <w:r>
        <w:rPr>
          <w:rFonts w:ascii="Arial" w:cs="Arial" w:eastAsia="Arial" w:hAnsi="Arial"/>
          <w:sz w:val="18"/>
          <w:szCs w:val="18"/>
          <w:color w:val="auto"/>
        </w:rPr>
        <w:t xml:space="preserve"> or </w:t>
      </w:r>
      <w:r>
        <w:rPr>
          <w:rFonts w:ascii="Arial" w:cs="Arial" w:eastAsia="Arial" w:hAnsi="Arial"/>
          <w:sz w:val="18"/>
          <w:szCs w:val="18"/>
          <w:b w:val="1"/>
          <w:bCs w:val="1"/>
          <w:color w:val="auto"/>
        </w:rPr>
        <w:t>Services</w:t>
      </w:r>
      <w:r>
        <w:rPr>
          <w:rFonts w:ascii="Arial" w:cs="Arial" w:eastAsia="Arial" w:hAnsi="Arial"/>
          <w:sz w:val="18"/>
          <w:szCs w:val="18"/>
          <w:color w:val="auto"/>
        </w:rPr>
        <w:t>). Unless otherwise expressly specified, the Provider shall furnish, at Provider’s own expense, any equipment, supplies and other materials necessary or advisable to perform the Services. Subject to the provisions of this Engagement Letter, the Client shall not control the manner or means by which the Provider performs the Services.</w:t>
      </w:r>
    </w:p>
    <w:p>
      <w:pPr>
        <w:spacing w:after="0" w:line="154" w:lineRule="exact"/>
        <w:rPr>
          <w:sz w:val="20"/>
          <w:szCs w:val="20"/>
          <w:color w:val="auto"/>
        </w:rPr>
      </w:pPr>
    </w:p>
    <w:p>
      <w:pPr>
        <w:ind w:left="1200" w:hanging="590"/>
        <w:spacing w:after="0"/>
        <w:tabs>
          <w:tab w:leader="none" w:pos="12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Schedule</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It is expected that the requested services will require the </w:t>
      </w:r>
      <w:r>
        <w:rPr>
          <w:rFonts w:ascii="Arial" w:cs="Arial" w:eastAsia="Arial" w:hAnsi="Arial"/>
          <w:sz w:val="18"/>
          <w:szCs w:val="18"/>
          <w:b w:val="1"/>
          <w:bCs w:val="1"/>
          <w:color w:val="auto"/>
        </w:rPr>
        <w:t>Time Estimate</w:t>
      </w:r>
      <w:r>
        <w:rPr>
          <w:rFonts w:ascii="Arial" w:cs="Arial" w:eastAsia="Arial" w:hAnsi="Arial"/>
          <w:sz w:val="18"/>
          <w:szCs w:val="18"/>
          <w:color w:val="auto"/>
        </w:rPr>
        <w:t xml:space="preserve"> to complete as per SOW#____. The date upon which</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such services will commence is </w:t>
      </w:r>
      <w:r>
        <w:rPr>
          <w:rFonts w:ascii="Arial" w:cs="Arial" w:eastAsia="Arial" w:hAnsi="Arial"/>
          <w:sz w:val="18"/>
          <w:szCs w:val="18"/>
          <w:b w:val="1"/>
          <w:bCs w:val="1"/>
          <w:color w:val="auto"/>
        </w:rPr>
        <w:t>Start Date</w:t>
      </w:r>
      <w:r>
        <w:rPr>
          <w:rFonts w:ascii="Arial" w:cs="Arial" w:eastAsia="Arial" w:hAnsi="Arial"/>
          <w:sz w:val="18"/>
          <w:szCs w:val="18"/>
          <w:color w:val="auto"/>
        </w:rPr>
        <w:t xml:space="preserve"> with an expected date of completion of </w:t>
      </w:r>
      <w:r>
        <w:rPr>
          <w:rFonts w:ascii="Arial" w:cs="Arial" w:eastAsia="Arial" w:hAnsi="Arial"/>
          <w:sz w:val="18"/>
          <w:szCs w:val="18"/>
          <w:b w:val="1"/>
          <w:bCs w:val="1"/>
          <w:color w:val="auto"/>
        </w:rPr>
        <w:t>Complete Date</w:t>
      </w:r>
      <w:r>
        <w:rPr>
          <w:rFonts w:ascii="Arial" w:cs="Arial" w:eastAsia="Arial" w:hAnsi="Arial"/>
          <w:sz w:val="18"/>
          <w:szCs w:val="18"/>
          <w:color w:val="auto"/>
        </w:rPr>
        <w: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order to complete such services as described in the SOW (numbered SOW #____) it is expected that a reasonable degree of</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cooperation from </w:t>
      </w:r>
      <w:r>
        <w:rPr>
          <w:rFonts w:ascii="Arial" w:cs="Arial" w:eastAsia="Arial" w:hAnsi="Arial"/>
          <w:sz w:val="18"/>
          <w:szCs w:val="18"/>
          <w:b w:val="1"/>
          <w:bCs w:val="1"/>
          <w:color w:val="auto"/>
        </w:rPr>
        <w:t>Client</w:t>
      </w:r>
      <w:r>
        <w:rPr>
          <w:rFonts w:ascii="Arial" w:cs="Arial" w:eastAsia="Arial" w:hAnsi="Arial"/>
          <w:sz w:val="18"/>
          <w:szCs w:val="18"/>
          <w:color w:val="auto"/>
        </w:rPr>
        <w:t xml:space="preserve"> will be required to effectively provide the services in the SOW in a manner efficient for </w:t>
      </w:r>
      <w:r>
        <w:rPr>
          <w:rFonts w:ascii="Arial" w:cs="Arial" w:eastAsia="Arial" w:hAnsi="Arial"/>
          <w:sz w:val="18"/>
          <w:szCs w:val="18"/>
          <w:b w:val="1"/>
          <w:bCs w:val="1"/>
          <w:color w:val="auto"/>
        </w:rPr>
        <w:t>Client</w:t>
      </w:r>
      <w:r>
        <w:rPr>
          <w:rFonts w:ascii="Arial" w:cs="Arial" w:eastAsia="Arial" w:hAnsi="Arial"/>
          <w:sz w:val="18"/>
          <w:szCs w:val="18"/>
          <w:color w:val="auto"/>
        </w:rPr>
        <w:t>.</w:t>
      </w:r>
    </w:p>
    <w:p>
      <w:pPr>
        <w:spacing w:after="0" w:line="175" w:lineRule="exact"/>
        <w:rPr>
          <w:sz w:val="20"/>
          <w:szCs w:val="20"/>
          <w:color w:val="auto"/>
        </w:rPr>
      </w:pPr>
    </w:p>
    <w:p>
      <w:pPr>
        <w:ind w:left="1200" w:hanging="590"/>
        <w:spacing w:after="0"/>
        <w:tabs>
          <w:tab w:leader="none" w:pos="12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Deliverables</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artifacts set forth in the applicable Statement of Work</w:t>
      </w:r>
    </w:p>
    <w:p>
      <w:pPr>
        <w:spacing w:after="0" w:line="163" w:lineRule="exact"/>
        <w:rPr>
          <w:sz w:val="20"/>
          <w:szCs w:val="20"/>
          <w:color w:val="auto"/>
        </w:rPr>
      </w:pPr>
    </w:p>
    <w:p>
      <w:pPr>
        <w:ind w:left="1200" w:hanging="590"/>
        <w:spacing w:after="0"/>
        <w:tabs>
          <w:tab w:leader="none" w:pos="12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Fees and billing</w:t>
      </w:r>
    </w:p>
    <w:p>
      <w:pPr>
        <w:spacing w:after="0" w:line="261" w:lineRule="exact"/>
        <w:rPr>
          <w:sz w:val="20"/>
          <w:szCs w:val="20"/>
          <w:color w:val="auto"/>
        </w:rPr>
      </w:pPr>
    </w:p>
    <w:p>
      <w:pPr>
        <w:jc w:val="both"/>
        <w:ind w:left="620" w:right="240"/>
        <w:spacing w:after="0" w:line="269" w:lineRule="auto"/>
        <w:rPr>
          <w:sz w:val="20"/>
          <w:szCs w:val="20"/>
          <w:color w:val="auto"/>
        </w:rPr>
      </w:pPr>
      <w:r>
        <w:rPr>
          <w:rFonts w:ascii="Arial" w:cs="Arial" w:eastAsia="Arial" w:hAnsi="Arial"/>
          <w:sz w:val="18"/>
          <w:szCs w:val="18"/>
          <w:color w:val="auto"/>
        </w:rPr>
        <w:t>Fees are calculated based on the actual hours of work required by each SOW and the size and complexity thereof. Based on the foregoing and on experience in similar engagements, the estimated fees for the services described in the SOW are as set forth in the relevant SOW. If Provider determines that the services described in the SOW will materially exceed the estimated fees, then Provider shall so inform Client, and seek Client’s consent to the additional estimated fees, before commencing the services.</w:t>
      </w:r>
    </w:p>
    <w:p>
      <w:pPr>
        <w:spacing w:after="0" w:line="211" w:lineRule="exact"/>
        <w:rPr>
          <w:sz w:val="20"/>
          <w:szCs w:val="20"/>
          <w:color w:val="auto"/>
        </w:rPr>
      </w:pPr>
    </w:p>
    <w:p>
      <w:pPr>
        <w:jc w:val="both"/>
        <w:ind w:left="620" w:right="240"/>
        <w:spacing w:after="0" w:line="335" w:lineRule="auto"/>
        <w:rPr>
          <w:sz w:val="20"/>
          <w:szCs w:val="20"/>
          <w:color w:val="auto"/>
        </w:rPr>
      </w:pPr>
      <w:r>
        <w:rPr>
          <w:rFonts w:ascii="Arial" w:cs="Arial" w:eastAsia="Arial" w:hAnsi="Arial"/>
          <w:sz w:val="17"/>
          <w:szCs w:val="17"/>
          <w:color w:val="auto"/>
        </w:rPr>
        <w:t xml:space="preserve">This engagement letter does not include any other </w:t>
      </w:r>
      <w:r>
        <w:rPr>
          <w:rFonts w:ascii="Arial" w:cs="Arial" w:eastAsia="Arial" w:hAnsi="Arial"/>
          <w:sz w:val="17"/>
          <w:szCs w:val="17"/>
          <w:b w:val="1"/>
          <w:bCs w:val="1"/>
          <w:color w:val="auto"/>
        </w:rPr>
        <w:t>Services</w:t>
      </w:r>
      <w:r>
        <w:rPr>
          <w:rFonts w:ascii="Arial" w:cs="Arial" w:eastAsia="Arial" w:hAnsi="Arial"/>
          <w:sz w:val="17"/>
          <w:szCs w:val="17"/>
          <w:color w:val="auto"/>
        </w:rPr>
        <w:t xml:space="preserve"> that have not been described in an SOW. In the event that any incremental services are requested, such shall be subject to a separate SOW appropriately executed by both </w:t>
      </w:r>
      <w:r>
        <w:rPr>
          <w:rFonts w:ascii="Arial" w:cs="Arial" w:eastAsia="Arial" w:hAnsi="Arial"/>
          <w:sz w:val="17"/>
          <w:szCs w:val="17"/>
          <w:b w:val="1"/>
          <w:bCs w:val="1"/>
          <w:color w:val="auto"/>
        </w:rPr>
        <w:t>Client</w:t>
      </w:r>
      <w:r>
        <w:rPr>
          <w:rFonts w:ascii="Arial" w:cs="Arial" w:eastAsia="Arial" w:hAnsi="Arial"/>
          <w:sz w:val="17"/>
          <w:szCs w:val="17"/>
          <w:color w:val="auto"/>
        </w:rPr>
        <w:t xml:space="preserve"> and </w:t>
      </w:r>
      <w:r>
        <w:rPr>
          <w:rFonts w:ascii="Arial" w:cs="Arial" w:eastAsia="Arial" w:hAnsi="Arial"/>
          <w:sz w:val="17"/>
          <w:szCs w:val="17"/>
          <w:b w:val="1"/>
          <w:bCs w:val="1"/>
          <w:color w:val="auto"/>
        </w:rPr>
        <w:t>Provider</w:t>
      </w:r>
      <w:r>
        <w:rPr>
          <w:rFonts w:ascii="Arial" w:cs="Arial" w:eastAsia="Arial" w:hAnsi="Arial"/>
          <w:sz w:val="17"/>
          <w:szCs w:val="17"/>
          <w:color w:val="auto"/>
        </w:rPr>
        <w:t>.</w:t>
      </w:r>
    </w:p>
    <w:p>
      <w:pPr>
        <w:spacing w:after="0" w:line="62" w:lineRule="exact"/>
        <w:rPr>
          <w:sz w:val="20"/>
          <w:szCs w:val="20"/>
          <w:color w:val="auto"/>
        </w:rPr>
      </w:pPr>
    </w:p>
    <w:p>
      <w:pPr>
        <w:ind w:left="1200" w:hanging="590"/>
        <w:spacing w:after="0"/>
        <w:tabs>
          <w:tab w:leader="none" w:pos="12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252" w:lineRule="exact"/>
        <w:rPr>
          <w:sz w:val="20"/>
          <w:szCs w:val="20"/>
          <w:color w:val="auto"/>
        </w:rPr>
      </w:pPr>
    </w:p>
    <w:p>
      <w:pPr>
        <w:jc w:val="both"/>
        <w:ind w:left="620" w:right="240"/>
        <w:spacing w:after="0" w:line="284" w:lineRule="auto"/>
        <w:rPr>
          <w:sz w:val="20"/>
          <w:szCs w:val="20"/>
          <w:color w:val="auto"/>
        </w:rPr>
      </w:pPr>
      <w:r>
        <w:rPr>
          <w:rFonts w:ascii="Arial" w:cs="Arial" w:eastAsia="Arial" w:hAnsi="Arial"/>
          <w:sz w:val="18"/>
          <w:szCs w:val="18"/>
          <w:color w:val="auto"/>
        </w:rPr>
        <w:t xml:space="preserve">Any reasonable out-of-pocket expenses actually incurred by </w:t>
      </w:r>
      <w:r>
        <w:rPr>
          <w:rFonts w:ascii="Arial" w:cs="Arial" w:eastAsia="Arial" w:hAnsi="Arial"/>
          <w:sz w:val="18"/>
          <w:szCs w:val="18"/>
          <w:b w:val="1"/>
          <w:bCs w:val="1"/>
          <w:color w:val="auto"/>
        </w:rPr>
        <w:t>Provider</w:t>
      </w:r>
      <w:r>
        <w:rPr>
          <w:rFonts w:ascii="Arial" w:cs="Arial" w:eastAsia="Arial" w:hAnsi="Arial"/>
          <w:sz w:val="18"/>
          <w:szCs w:val="18"/>
          <w:color w:val="auto"/>
        </w:rPr>
        <w:t xml:space="preserve"> during the provision of </w:t>
      </w:r>
      <w:r>
        <w:rPr>
          <w:rFonts w:ascii="Arial" w:cs="Arial" w:eastAsia="Arial" w:hAnsi="Arial"/>
          <w:sz w:val="18"/>
          <w:szCs w:val="18"/>
          <w:b w:val="1"/>
          <w:bCs w:val="1"/>
          <w:color w:val="auto"/>
        </w:rPr>
        <w:t>Services</w:t>
      </w:r>
      <w:r>
        <w:rPr>
          <w:rFonts w:ascii="Arial" w:cs="Arial" w:eastAsia="Arial" w:hAnsi="Arial"/>
          <w:sz w:val="18"/>
          <w:szCs w:val="18"/>
          <w:color w:val="auto"/>
        </w:rPr>
        <w:t xml:space="preserve"> (e.g. reasonable travel, accommodation, per diems, translations, etc.), will be added to the actual fees and shall be billed at cost, with supporting documentation for such expenses to be provided to Client.</w:t>
      </w:r>
    </w:p>
    <w:p>
      <w:pPr>
        <w:spacing w:after="0" w:line="102" w:lineRule="exact"/>
        <w:rPr>
          <w:sz w:val="20"/>
          <w:szCs w:val="20"/>
          <w:color w:val="auto"/>
        </w:rPr>
      </w:pPr>
    </w:p>
    <w:p>
      <w:pPr>
        <w:ind w:left="1200" w:hanging="590"/>
        <w:spacing w:after="0"/>
        <w:tabs>
          <w:tab w:leader="none" w:pos="12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Billing and payment</w:t>
      </w:r>
    </w:p>
    <w:p>
      <w:pPr>
        <w:spacing w:after="0" w:line="234" w:lineRule="exact"/>
        <w:rPr>
          <w:sz w:val="20"/>
          <w:szCs w:val="20"/>
          <w:color w:val="auto"/>
        </w:rPr>
      </w:pPr>
    </w:p>
    <w:p>
      <w:pPr>
        <w:jc w:val="both"/>
        <w:ind w:left="620"/>
        <w:spacing w:after="0" w:line="219" w:lineRule="auto"/>
        <w:rPr>
          <w:sz w:val="20"/>
          <w:szCs w:val="20"/>
          <w:color w:val="auto"/>
        </w:rPr>
      </w:pPr>
      <w:r>
        <w:rPr>
          <w:rFonts w:ascii="Arial" w:cs="Arial" w:eastAsia="Arial" w:hAnsi="Arial"/>
          <w:sz w:val="18"/>
          <w:szCs w:val="18"/>
          <w:color w:val="auto"/>
        </w:rPr>
        <w:t xml:space="preserve">As multiple SOWs are anticipated under this engagement, fees will be billed monthly for all SOWs that are complete or in progress. Such invoices shall note the actual hours incurred as compared to the </w:t>
      </w:r>
      <w:r>
        <w:rPr>
          <w:rFonts w:ascii="Arial" w:cs="Arial" w:eastAsia="Arial" w:hAnsi="Arial"/>
          <w:sz w:val="18"/>
          <w:szCs w:val="18"/>
          <w:b w:val="1"/>
          <w:bCs w:val="1"/>
          <w:color w:val="auto"/>
        </w:rPr>
        <w:t>Time Estimate</w:t>
      </w:r>
      <w:r>
        <w:rPr>
          <w:rFonts w:ascii="Arial" w:cs="Arial" w:eastAsia="Arial" w:hAnsi="Arial"/>
          <w:sz w:val="18"/>
          <w:szCs w:val="18"/>
          <w:color w:val="auto"/>
        </w:rPr>
        <w:t xml:space="preserve"> per SOW and shall note whether such SOW is complete or in progress.</w:t>
      </w:r>
    </w:p>
    <w:p>
      <w:pPr>
        <w:spacing w:after="0" w:line="243" w:lineRule="exact"/>
        <w:rPr>
          <w:sz w:val="20"/>
          <w:szCs w:val="20"/>
          <w:color w:val="auto"/>
        </w:rPr>
      </w:pPr>
    </w:p>
    <w:p>
      <w:pPr>
        <w:ind w:left="620" w:right="240"/>
        <w:spacing w:after="0" w:line="277" w:lineRule="auto"/>
        <w:rPr>
          <w:sz w:val="20"/>
          <w:szCs w:val="20"/>
          <w:color w:val="auto"/>
        </w:rPr>
      </w:pPr>
      <w:r>
        <w:rPr>
          <w:rFonts w:ascii="Arial" w:cs="Arial" w:eastAsia="Arial" w:hAnsi="Arial"/>
          <w:sz w:val="18"/>
          <w:szCs w:val="18"/>
          <w:color w:val="auto"/>
        </w:rPr>
        <w:t>Invoices are payable by electronic means to Uphill Consulting Bank of America account number within 30 days of invoice date, with such invoices to be provided to Client on the invoice date.</w:t>
      </w:r>
    </w:p>
    <w:p>
      <w:pPr>
        <w:spacing w:after="0" w:line="351" w:lineRule="exact"/>
        <w:rPr>
          <w:sz w:val="20"/>
          <w:szCs w:val="20"/>
          <w:color w:val="auto"/>
        </w:rPr>
      </w:pPr>
    </w:p>
    <w:p>
      <w:pPr>
        <w:ind w:left="1200" w:hanging="590"/>
        <w:spacing w:after="0"/>
        <w:tabs>
          <w:tab w:leader="none" w:pos="12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Standard business terms</w:t>
      </w:r>
    </w:p>
    <w:p>
      <w:pPr>
        <w:spacing w:after="0" w:line="252" w:lineRule="exact"/>
        <w:rPr>
          <w:sz w:val="20"/>
          <w:szCs w:val="20"/>
          <w:color w:val="auto"/>
        </w:rPr>
      </w:pPr>
    </w:p>
    <w:p>
      <w:pPr>
        <w:ind w:left="620" w:right="240"/>
        <w:spacing w:after="0" w:line="318" w:lineRule="auto"/>
        <w:rPr>
          <w:sz w:val="20"/>
          <w:szCs w:val="20"/>
          <w:color w:val="auto"/>
        </w:rPr>
      </w:pPr>
      <w:r>
        <w:rPr>
          <w:rFonts w:ascii="Arial" w:cs="Arial" w:eastAsia="Arial" w:hAnsi="Arial"/>
          <w:sz w:val="18"/>
          <w:szCs w:val="18"/>
          <w:color w:val="auto"/>
        </w:rPr>
        <w:t xml:space="preserve">The Standard Business Terms attached as an Exhibit to this engagement letter constitute the entire agreement between </w:t>
      </w:r>
      <w:r>
        <w:rPr>
          <w:rFonts w:ascii="Arial" w:cs="Arial" w:eastAsia="Arial" w:hAnsi="Arial"/>
          <w:sz w:val="18"/>
          <w:szCs w:val="18"/>
          <w:b w:val="1"/>
          <w:bCs w:val="1"/>
          <w:color w:val="auto"/>
        </w:rPr>
        <w:t>Client</w:t>
      </w:r>
      <w:r>
        <w:rPr>
          <w:rFonts w:ascii="Arial" w:cs="Arial" w:eastAsia="Arial" w:hAnsi="Arial"/>
          <w:sz w:val="18"/>
          <w:szCs w:val="18"/>
          <w:color w:val="auto"/>
        </w:rPr>
        <w:t xml:space="preserve"> and </w:t>
      </w:r>
      <w:r>
        <w:rPr>
          <w:rFonts w:ascii="Arial" w:cs="Arial" w:eastAsia="Arial" w:hAnsi="Arial"/>
          <w:sz w:val="18"/>
          <w:szCs w:val="18"/>
          <w:b w:val="1"/>
          <w:bCs w:val="1"/>
          <w:color w:val="auto"/>
        </w:rPr>
        <w:t>Provider</w:t>
      </w:r>
      <w:r>
        <w:rPr>
          <w:rFonts w:ascii="Arial" w:cs="Arial" w:eastAsia="Arial" w:hAnsi="Arial"/>
          <w:sz w:val="18"/>
          <w:szCs w:val="18"/>
          <w:color w:val="auto"/>
        </w:rPr>
        <w:t xml:space="preserve"> in relation to the services described.</w:t>
      </w:r>
    </w:p>
    <w:p>
      <w:pPr>
        <w:spacing w:after="0" w:line="86" w:lineRule="exact"/>
        <w:rPr>
          <w:sz w:val="20"/>
          <w:szCs w:val="20"/>
          <w:color w:val="auto"/>
        </w:rPr>
      </w:pPr>
    </w:p>
    <w:p>
      <w:pPr>
        <w:ind w:left="1200" w:hanging="590"/>
        <w:spacing w:after="0"/>
        <w:tabs>
          <w:tab w:leader="none" w:pos="12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Liability</w:t>
      </w:r>
    </w:p>
    <w:p>
      <w:pPr>
        <w:sectPr>
          <w:pgSz w:w="11900" w:h="16838" w:orient="portrait"/>
          <w:cols w:equalWidth="0" w:num="1">
            <w:col w:w="11240"/>
          </w:cols>
          <w:pgMar w:left="320" w:top="585" w:right="339"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color w:val="auto"/>
        </w:rPr>
        <w:t>[Type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620"/>
        <w:spacing w:after="0" w:line="284" w:lineRule="auto"/>
        <w:rPr>
          <w:sz w:val="20"/>
          <w:szCs w:val="20"/>
          <w:color w:val="auto"/>
        </w:rPr>
      </w:pPr>
      <w:r>
        <w:rPr>
          <w:rFonts w:ascii="Arial" w:cs="Arial" w:eastAsia="Arial" w:hAnsi="Arial"/>
          <w:sz w:val="18"/>
          <w:szCs w:val="18"/>
          <w:color w:val="auto"/>
        </w:rPr>
        <w:t xml:space="preserve">In no event shall </w:t>
      </w:r>
      <w:r>
        <w:rPr>
          <w:rFonts w:ascii="Arial" w:cs="Arial" w:eastAsia="Arial" w:hAnsi="Arial"/>
          <w:sz w:val="18"/>
          <w:szCs w:val="18"/>
          <w:b w:val="1"/>
          <w:bCs w:val="1"/>
          <w:color w:val="auto"/>
        </w:rPr>
        <w:t>Provider</w:t>
      </w:r>
      <w:r>
        <w:rPr>
          <w:rFonts w:ascii="Arial" w:cs="Arial" w:eastAsia="Arial" w:hAnsi="Arial"/>
          <w:sz w:val="18"/>
          <w:szCs w:val="18"/>
          <w:color w:val="auto"/>
        </w:rPr>
        <w:t xml:space="preserve"> be liable for any loss of use, contracts, data, goodwill, revenues or profits (whether or not deemed to constitute direct claims) or any consequential, special, indirect, incidental, punitive or exemplary loss, damage, or expense relating to this contract or the </w:t>
      </w:r>
      <w:r>
        <w:rPr>
          <w:rFonts w:ascii="Arial" w:cs="Arial" w:eastAsia="Arial" w:hAnsi="Arial"/>
          <w:sz w:val="18"/>
          <w:szCs w:val="18"/>
          <w:b w:val="1"/>
          <w:bCs w:val="1"/>
          <w:color w:val="auto"/>
        </w:rPr>
        <w:t>Services</w:t>
      </w:r>
      <w:r>
        <w:rPr>
          <w:rFonts w:ascii="Arial" w:cs="Arial" w:eastAsia="Arial" w:hAnsi="Arial"/>
          <w:sz w:val="18"/>
          <w:szCs w:val="18"/>
          <w:color w:val="auto"/>
        </w:rPr>
        <w:t>.</w:t>
      </w:r>
    </w:p>
    <w:p>
      <w:pPr>
        <w:spacing w:after="0" w:line="102" w:lineRule="exact"/>
        <w:rPr>
          <w:sz w:val="20"/>
          <w:szCs w:val="20"/>
          <w:color w:val="auto"/>
        </w:rPr>
      </w:pPr>
    </w:p>
    <w:p>
      <w:pPr>
        <w:ind w:left="1180" w:hanging="570"/>
        <w:spacing w:after="0"/>
        <w:tabs>
          <w:tab w:leader="none" w:pos="11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52" w:lineRule="exact"/>
        <w:rPr>
          <w:sz w:val="20"/>
          <w:szCs w:val="20"/>
          <w:color w:val="auto"/>
        </w:rPr>
      </w:pPr>
    </w:p>
    <w:p>
      <w:pPr>
        <w:jc w:val="both"/>
        <w:ind w:left="620" w:right="20"/>
        <w:spacing w:after="0" w:line="284" w:lineRule="auto"/>
        <w:rPr>
          <w:sz w:val="20"/>
          <w:szCs w:val="20"/>
          <w:color w:val="auto"/>
        </w:rPr>
      </w:pPr>
      <w:r>
        <w:rPr>
          <w:rFonts w:ascii="Arial" w:cs="Arial" w:eastAsia="Arial" w:hAnsi="Arial"/>
          <w:sz w:val="18"/>
          <w:szCs w:val="18"/>
          <w:b w:val="1"/>
          <w:bCs w:val="1"/>
          <w:color w:val="auto"/>
        </w:rPr>
        <w:t xml:space="preserve">Client </w:t>
      </w:r>
      <w:r>
        <w:rPr>
          <w:rFonts w:ascii="Arial" w:cs="Arial" w:eastAsia="Arial" w:hAnsi="Arial"/>
          <w:sz w:val="18"/>
          <w:szCs w:val="18"/>
          <w:color w:val="auto"/>
        </w:rPr>
        <w:t>and Provider shall each indemnify and hold harmless the other and any respective personnel, from all third party Claims,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finally judicially determined to have resulted primarily from the bad faith or intentional misconduct of the indemnified party or any respective personnel.</w:t>
      </w:r>
    </w:p>
    <w:p>
      <w:pPr>
        <w:spacing w:after="0" w:line="151"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In circumstances where all or any portion of the provisions of this Paragraph are finally determined to be unavailable, the aggregate liability of a party to this engagement letter (including respective personnel) for any Claim shall not exceed an amount which is proportional to the relative fault that their conduct bears to all other conduct giving rise to such Claim.</w:t>
      </w:r>
    </w:p>
    <w:p>
      <w:pPr>
        <w:spacing w:after="0" w:line="370" w:lineRule="exact"/>
        <w:rPr>
          <w:sz w:val="20"/>
          <w:szCs w:val="20"/>
          <w:color w:val="auto"/>
        </w:rPr>
      </w:pPr>
    </w:p>
    <w:p>
      <w:pPr>
        <w:ind w:left="1180" w:hanging="570"/>
        <w:spacing w:after="0"/>
        <w:tabs>
          <w:tab w:leader="none" w:pos="11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the provision of services</w:t>
      </w:r>
    </w:p>
    <w:p>
      <w:pPr>
        <w:spacing w:after="0" w:line="239" w:lineRule="exact"/>
        <w:rPr>
          <w:sz w:val="20"/>
          <w:szCs w:val="20"/>
          <w:color w:val="auto"/>
        </w:rPr>
      </w:pPr>
    </w:p>
    <w:p>
      <w:pPr>
        <w:ind w:left="620" w:right="220"/>
        <w:spacing w:after="0" w:line="275" w:lineRule="auto"/>
        <w:rPr>
          <w:sz w:val="20"/>
          <w:szCs w:val="20"/>
          <w:color w:val="auto"/>
        </w:rPr>
      </w:pPr>
      <w:r>
        <w:rPr>
          <w:rFonts w:ascii="Arial" w:cs="Arial" w:eastAsia="Arial" w:hAnsi="Arial"/>
          <w:sz w:val="18"/>
          <w:szCs w:val="18"/>
          <w:b w:val="1"/>
          <w:bCs w:val="1"/>
          <w:color w:val="auto"/>
        </w:rPr>
        <w:t xml:space="preserve">Provider </w:t>
      </w:r>
      <w:r>
        <w:rPr>
          <w:rFonts w:ascii="Arial" w:cs="Arial" w:eastAsia="Arial" w:hAnsi="Arial"/>
          <w:sz w:val="18"/>
          <w:szCs w:val="18"/>
          <w:color w:val="auto"/>
        </w:rPr>
        <w:t>is an independent contractor, and this engagement letter shall not be construed to create any association,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joint venture, employee or agency relationship between Provider and Client (or any of Client’s Affiliates) for any purpose. Accordingly, Provider acts only in an advisory capacity for the </w:t>
      </w:r>
      <w:r>
        <w:rPr>
          <w:rFonts w:ascii="Arial" w:cs="Arial" w:eastAsia="Arial" w:hAnsi="Arial"/>
          <w:sz w:val="18"/>
          <w:szCs w:val="18"/>
          <w:b w:val="1"/>
          <w:bCs w:val="1"/>
          <w:color w:val="auto"/>
        </w:rPr>
        <w:t>Client</w:t>
      </w:r>
      <w:r>
        <w:rPr>
          <w:rFonts w:ascii="Arial" w:cs="Arial" w:eastAsia="Arial" w:hAnsi="Arial"/>
          <w:sz w:val="18"/>
          <w:szCs w:val="18"/>
          <w:color w:val="auto"/>
        </w:rPr>
        <w:t xml:space="preserve"> and has no authority to resolve any issue, to agree any obligation, to extend a limitation period, or to exercise any authority or decision on behalf of </w:t>
      </w:r>
      <w:r>
        <w:rPr>
          <w:rFonts w:ascii="Arial" w:cs="Arial" w:eastAsia="Arial" w:hAnsi="Arial"/>
          <w:sz w:val="18"/>
          <w:szCs w:val="18"/>
          <w:b w:val="1"/>
          <w:bCs w:val="1"/>
          <w:color w:val="auto"/>
        </w:rPr>
        <w:t>Client</w:t>
      </w:r>
      <w:r>
        <w:rPr>
          <w:rFonts w:ascii="Arial" w:cs="Arial" w:eastAsia="Arial" w:hAnsi="Arial"/>
          <w:sz w:val="18"/>
          <w:szCs w:val="18"/>
          <w:color w:val="auto"/>
        </w:rPr>
        <w:t xml:space="preserve"> unless explicitly indicated in SOW or an addendum to such, which shall be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- 2 -</w:t>
      </w:r>
    </w:p>
    <w:p>
      <w:pPr>
        <w:sectPr>
          <w:pgSz w:w="11900" w:h="16838" w:orient="portrait"/>
          <w:cols w:equalWidth="0" w:num="1">
            <w:col w:w="11000"/>
          </w:cols>
          <w:pgMar w:left="320" w:top="122" w:right="579" w:bottom="1440" w:gutter="0" w:footer="0" w:header="0"/>
        </w:sectPr>
      </w:pPr>
    </w:p>
    <w:bookmarkStart w:id="188" w:name="page189"/>
    <w:bookmarkEnd w:id="188"/>
    <w:p>
      <w:pPr>
        <w:spacing w:after="0"/>
        <w:rPr>
          <w:sz w:val="20"/>
          <w:szCs w:val="20"/>
          <w:color w:val="auto"/>
        </w:rPr>
      </w:pPr>
      <w:r>
        <w:rPr>
          <w:rFonts w:ascii="Arial" w:cs="Arial" w:eastAsia="Arial" w:hAnsi="Arial"/>
          <w:sz w:val="20"/>
          <w:szCs w:val="20"/>
          <w:color w:val="auto"/>
        </w:rPr>
        <w:t>[Type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20"/>
        <w:spacing w:after="0"/>
        <w:rPr>
          <w:sz w:val="20"/>
          <w:szCs w:val="20"/>
          <w:color w:val="auto"/>
        </w:rPr>
      </w:pPr>
      <w:r>
        <w:rPr>
          <w:rFonts w:ascii="Arial" w:cs="Arial" w:eastAsia="Arial" w:hAnsi="Arial"/>
          <w:sz w:val="25"/>
          <w:szCs w:val="25"/>
          <w:b w:val="1"/>
          <w:bCs w:val="1"/>
          <w:color w:val="auto"/>
        </w:rPr>
        <w:t>EXHIBIT: Standard Business Terms</w:t>
      </w:r>
    </w:p>
    <w:p>
      <w:pPr>
        <w:spacing w:after="0" w:line="339" w:lineRule="exact"/>
        <w:rPr>
          <w:sz w:val="20"/>
          <w:szCs w:val="20"/>
          <w:color w:val="auto"/>
        </w:rPr>
      </w:pPr>
    </w:p>
    <w:p>
      <w:pPr>
        <w:jc w:val="both"/>
        <w:ind w:left="620" w:right="563"/>
        <w:spacing w:after="0" w:line="302" w:lineRule="auto"/>
        <w:rPr>
          <w:sz w:val="20"/>
          <w:szCs w:val="20"/>
          <w:color w:val="auto"/>
        </w:rPr>
      </w:pPr>
      <w:r>
        <w:rPr>
          <w:rFonts w:ascii="Arial" w:cs="Arial" w:eastAsia="Arial" w:hAnsi="Arial"/>
          <w:sz w:val="16"/>
          <w:szCs w:val="16"/>
          <w:color w:val="auto"/>
        </w:rPr>
        <w:t>In the event of a contradiction or conflict between the Standard Business Terms and the terms of the Engagement Letter or SOW, the SOW shall prevail, except with respect to Articles 5, 6, 7, 10, and 11 of the Engagement Letter, which shall always prevail over the Standard Business Terms.</w:t>
      </w:r>
    </w:p>
    <w:p>
      <w:pPr>
        <w:spacing w:after="0" w:line="3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 Contract and parties</w:t>
      </w:r>
    </w:p>
    <w:p>
      <w:pPr>
        <w:spacing w:after="0" w:line="106" w:lineRule="exact"/>
        <w:rPr>
          <w:sz w:val="20"/>
          <w:szCs w:val="20"/>
          <w:color w:val="auto"/>
        </w:rPr>
      </w:pPr>
    </w:p>
    <w:p>
      <w:pPr>
        <w:jc w:val="both"/>
        <w:ind w:left="860" w:right="563" w:hanging="251"/>
        <w:spacing w:after="0" w:line="300" w:lineRule="auto"/>
        <w:tabs>
          <w:tab w:leader="none" w:pos="873" w:val="left"/>
        </w:tabs>
        <w:numPr>
          <w:ilvl w:val="0"/>
          <w:numId w:val="68"/>
        </w:numPr>
        <w:rPr>
          <w:rFonts w:ascii="Arial" w:cs="Arial" w:eastAsia="Arial" w:hAnsi="Arial"/>
          <w:sz w:val="13"/>
          <w:szCs w:val="13"/>
          <w:color w:val="auto"/>
        </w:rPr>
      </w:pPr>
      <w:r>
        <w:rPr>
          <w:rFonts w:ascii="Arial" w:cs="Arial" w:eastAsia="Arial" w:hAnsi="Arial"/>
          <w:sz w:val="16"/>
          <w:szCs w:val="16"/>
          <w:color w:val="auto"/>
        </w:rPr>
        <w:t>The engagement letter and any appendices, including relevant SOWs incorporated by reference upon execution into the engagement letter (“Engagement Letter”) issued by Michael F. Winterscheidt (d/b/a “Uphill Consulting”, “Provider”) and addressed to the Client and these Standard Business Terms (together the “Contract”) constitute the whole agreement between the Client and Provider in relation to the services and artifacts (including Advice as defined below) described in the Contract to be provided by Provider (the “Services”) and Provider’s responsibilities for providing the Services. Capitalized terms not defined in these Standard Business Terms shall have the meaning given to them in the Engagement Letter.</w:t>
      </w:r>
    </w:p>
    <w:p>
      <w:pPr>
        <w:spacing w:after="0" w:line="101" w:lineRule="exact"/>
        <w:rPr>
          <w:rFonts w:ascii="Arial" w:cs="Arial" w:eastAsia="Arial" w:hAnsi="Arial"/>
          <w:sz w:val="13"/>
          <w:szCs w:val="13"/>
          <w:color w:val="auto"/>
        </w:rPr>
      </w:pPr>
    </w:p>
    <w:p>
      <w:pPr>
        <w:ind w:left="860" w:right="583" w:hanging="251"/>
        <w:spacing w:after="0" w:line="313" w:lineRule="auto"/>
        <w:tabs>
          <w:tab w:leader="none" w:pos="859" w:val="left"/>
        </w:tabs>
        <w:numPr>
          <w:ilvl w:val="0"/>
          <w:numId w:val="68"/>
        </w:numPr>
        <w:rPr>
          <w:rFonts w:ascii="Arial" w:cs="Arial" w:eastAsia="Arial" w:hAnsi="Arial"/>
          <w:sz w:val="13"/>
          <w:szCs w:val="13"/>
          <w:color w:val="auto"/>
        </w:rPr>
      </w:pPr>
      <w:r>
        <w:rPr>
          <w:rFonts w:ascii="Arial" w:cs="Arial" w:eastAsia="Arial" w:hAnsi="Arial"/>
          <w:sz w:val="16"/>
          <w:szCs w:val="16"/>
          <w:color w:val="auto"/>
        </w:rPr>
        <w:t>This Contract is between the Client and Provider. For the purposes of this Contract:</w:t>
      </w:r>
    </w:p>
    <w:p>
      <w:pPr>
        <w:spacing w:after="0" w:line="87" w:lineRule="exact"/>
        <w:rPr>
          <w:sz w:val="20"/>
          <w:szCs w:val="20"/>
          <w:color w:val="auto"/>
        </w:rPr>
      </w:pPr>
    </w:p>
    <w:p>
      <w:pPr>
        <w:ind w:left="860" w:right="563" w:hanging="153"/>
        <w:spacing w:after="0" w:line="295" w:lineRule="auto"/>
        <w:tabs>
          <w:tab w:leader="none" w:pos="840" w:val="left"/>
        </w:tabs>
        <w:numPr>
          <w:ilvl w:val="0"/>
          <w:numId w:val="69"/>
        </w:numPr>
        <w:rPr>
          <w:rFonts w:ascii="Arial" w:cs="Arial" w:eastAsia="Arial" w:hAnsi="Arial"/>
          <w:sz w:val="13"/>
          <w:szCs w:val="13"/>
          <w:color w:val="auto"/>
        </w:rPr>
      </w:pPr>
      <w:r>
        <w:rPr>
          <w:rFonts w:ascii="Arial" w:cs="Arial" w:eastAsia="Arial" w:hAnsi="Arial"/>
          <w:sz w:val="16"/>
          <w:szCs w:val="16"/>
          <w:color w:val="auto"/>
        </w:rPr>
        <w:t>“Client” shall mean the entity specified in the Engagement Letter;</w:t>
      </w:r>
    </w:p>
    <w:p>
      <w:pPr>
        <w:spacing w:after="0" w:line="87" w:lineRule="exact"/>
        <w:rPr>
          <w:rFonts w:ascii="Arial" w:cs="Arial" w:eastAsia="Arial" w:hAnsi="Arial"/>
          <w:sz w:val="13"/>
          <w:szCs w:val="13"/>
          <w:color w:val="auto"/>
        </w:rPr>
      </w:pPr>
    </w:p>
    <w:p>
      <w:pPr>
        <w:jc w:val="both"/>
        <w:ind w:left="860" w:right="563" w:hanging="153"/>
        <w:spacing w:after="0" w:line="288" w:lineRule="auto"/>
        <w:tabs>
          <w:tab w:leader="none" w:pos="840" w:val="left"/>
        </w:tabs>
        <w:numPr>
          <w:ilvl w:val="0"/>
          <w:numId w:val="69"/>
        </w:numPr>
        <w:rPr>
          <w:rFonts w:ascii="Arial" w:cs="Arial" w:eastAsia="Arial" w:hAnsi="Arial"/>
          <w:sz w:val="13"/>
          <w:szCs w:val="13"/>
          <w:color w:val="auto"/>
        </w:rPr>
      </w:pPr>
      <w:r>
        <w:rPr>
          <w:rFonts w:ascii="Arial" w:cs="Arial" w:eastAsia="Arial" w:hAnsi="Arial"/>
          <w:sz w:val="16"/>
          <w:szCs w:val="16"/>
          <w:color w:val="auto"/>
        </w:rPr>
        <w:t>“Advice” shall mean all advice, opinions, reports and other work product in any form (including Artifacts) provided by or on behalf of Provider as part of the Services.</w:t>
      </w:r>
    </w:p>
    <w:p>
      <w:pPr>
        <w:spacing w:after="0" w:line="107" w:lineRule="exact"/>
        <w:rPr>
          <w:rFonts w:ascii="Arial" w:cs="Arial" w:eastAsia="Arial" w:hAnsi="Arial"/>
          <w:sz w:val="13"/>
          <w:szCs w:val="13"/>
          <w:color w:val="auto"/>
        </w:rPr>
      </w:pPr>
    </w:p>
    <w:p>
      <w:pPr>
        <w:jc w:val="both"/>
        <w:ind w:left="860" w:right="543" w:hanging="153"/>
        <w:spacing w:after="0" w:line="286" w:lineRule="auto"/>
        <w:tabs>
          <w:tab w:leader="none" w:pos="840" w:val="left"/>
        </w:tabs>
        <w:numPr>
          <w:ilvl w:val="0"/>
          <w:numId w:val="69"/>
        </w:numPr>
        <w:rPr>
          <w:rFonts w:ascii="Arial" w:cs="Arial" w:eastAsia="Arial" w:hAnsi="Arial"/>
          <w:sz w:val="13"/>
          <w:szCs w:val="13"/>
          <w:color w:val="auto"/>
        </w:rPr>
      </w:pPr>
      <w:r>
        <w:rPr>
          <w:rFonts w:ascii="Arial" w:cs="Arial" w:eastAsia="Arial" w:hAnsi="Arial"/>
          <w:sz w:val="16"/>
          <w:szCs w:val="16"/>
          <w:color w:val="auto"/>
        </w:rPr>
        <w:t>“Artifacts” means any and all tangible work outputs of the Services to be delivered by Provider as part of the Services, including written memoranda, reports, documents, emails and other materials.</w:t>
      </w:r>
    </w:p>
    <w:p>
      <w:pPr>
        <w:spacing w:after="0" w:line="95" w:lineRule="exact"/>
        <w:rPr>
          <w:sz w:val="20"/>
          <w:szCs w:val="20"/>
          <w:color w:val="auto"/>
        </w:rPr>
      </w:pPr>
    </w:p>
    <w:p>
      <w:pPr>
        <w:jc w:val="both"/>
        <w:ind w:left="860" w:right="563" w:hanging="251"/>
        <w:spacing w:after="0" w:line="286" w:lineRule="auto"/>
        <w:tabs>
          <w:tab w:leader="none" w:pos="865" w:val="left"/>
        </w:tabs>
        <w:numPr>
          <w:ilvl w:val="0"/>
          <w:numId w:val="70"/>
        </w:numPr>
        <w:rPr>
          <w:rFonts w:ascii="Arial" w:cs="Arial" w:eastAsia="Arial" w:hAnsi="Arial"/>
          <w:sz w:val="13"/>
          <w:szCs w:val="13"/>
          <w:color w:val="auto"/>
        </w:rPr>
      </w:pPr>
      <w:r>
        <w:rPr>
          <w:rFonts w:ascii="Arial" w:cs="Arial" w:eastAsia="Arial" w:hAnsi="Arial"/>
          <w:sz w:val="16"/>
          <w:szCs w:val="16"/>
          <w:color w:val="auto"/>
        </w:rPr>
        <w:t>Provider may not subcontract any Services under this Contract to any other party. The Client’s relationship is solely with Provider as the entity contracting to provide the Services.</w:t>
      </w:r>
    </w:p>
    <w:p>
      <w:pPr>
        <w:spacing w:after="0" w:line="108" w:lineRule="exact"/>
        <w:rPr>
          <w:rFonts w:ascii="Arial" w:cs="Arial" w:eastAsia="Arial" w:hAnsi="Arial"/>
          <w:sz w:val="13"/>
          <w:szCs w:val="13"/>
          <w:color w:val="auto"/>
        </w:rPr>
      </w:pPr>
    </w:p>
    <w:p>
      <w:pPr>
        <w:ind w:left="860" w:right="563" w:hanging="251"/>
        <w:spacing w:after="0" w:line="295" w:lineRule="auto"/>
        <w:tabs>
          <w:tab w:leader="none" w:pos="859" w:val="left"/>
        </w:tabs>
        <w:numPr>
          <w:ilvl w:val="0"/>
          <w:numId w:val="70"/>
        </w:numPr>
        <w:rPr>
          <w:rFonts w:ascii="Arial" w:cs="Arial" w:eastAsia="Arial" w:hAnsi="Arial"/>
          <w:sz w:val="13"/>
          <w:szCs w:val="13"/>
          <w:color w:val="auto"/>
        </w:rPr>
      </w:pPr>
      <w:r>
        <w:rPr>
          <w:rFonts w:ascii="Arial" w:cs="Arial" w:eastAsia="Arial" w:hAnsi="Arial"/>
          <w:sz w:val="16"/>
          <w:szCs w:val="16"/>
          <w:color w:val="auto"/>
        </w:rPr>
        <w:t>Provider remains responsible to the Client for all of the Services performed or to be performed under this Contract.</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2. Responsibilities of the Client and of Provider</w:t>
      </w:r>
    </w:p>
    <w:p>
      <w:pPr>
        <w:spacing w:after="0" w:line="106" w:lineRule="exact"/>
        <w:rPr>
          <w:sz w:val="20"/>
          <w:szCs w:val="20"/>
          <w:color w:val="auto"/>
        </w:rPr>
      </w:pPr>
    </w:p>
    <w:p>
      <w:pPr>
        <w:ind w:left="880" w:hanging="271"/>
        <w:spacing w:after="0"/>
        <w:tabs>
          <w:tab w:leader="none" w:pos="880" w:val="left"/>
        </w:tabs>
        <w:numPr>
          <w:ilvl w:val="0"/>
          <w:numId w:val="71"/>
        </w:numPr>
        <w:rPr>
          <w:rFonts w:ascii="Arial" w:cs="Arial" w:eastAsia="Arial" w:hAnsi="Arial"/>
          <w:sz w:val="13"/>
          <w:szCs w:val="13"/>
          <w:color w:val="auto"/>
        </w:rPr>
      </w:pPr>
      <w:r>
        <w:rPr>
          <w:rFonts w:ascii="Arial" w:cs="Arial" w:eastAsia="Arial" w:hAnsi="Arial"/>
          <w:sz w:val="16"/>
          <w:szCs w:val="16"/>
          <w:color w:val="auto"/>
        </w:rPr>
        <w:t>Responsibilities of the Client</w:t>
      </w:r>
    </w:p>
    <w:p>
      <w:pPr>
        <w:spacing w:after="0" w:line="369" w:lineRule="exact"/>
        <w:rPr>
          <w:rFonts w:ascii="Arial" w:cs="Arial" w:eastAsia="Arial" w:hAnsi="Arial"/>
          <w:sz w:val="13"/>
          <w:szCs w:val="13"/>
          <w:color w:val="auto"/>
        </w:rPr>
      </w:pPr>
    </w:p>
    <w:p>
      <w:pPr>
        <w:jc w:val="both"/>
        <w:ind w:left="960" w:right="543" w:hanging="252"/>
        <w:spacing w:after="0" w:line="284" w:lineRule="auto"/>
        <w:tabs>
          <w:tab w:leader="none" w:pos="966"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Client shall cooperate with Provider in connection with the performance of the Services, including, without limitation, providing Provider with reasonable facilities and timely access to data, information and personnel of Client. The Client shall be responsible for the performance of its personnel and third parties retained by the Client, for the timeliness, accuracy and completeness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357"/>
        <w:spacing w:after="0" w:line="281" w:lineRule="auto"/>
        <w:rPr>
          <w:sz w:val="20"/>
          <w:szCs w:val="20"/>
          <w:color w:val="auto"/>
        </w:rPr>
      </w:pPr>
      <w:r>
        <w:rPr>
          <w:rFonts w:ascii="Arial" w:cs="Arial" w:eastAsia="Arial" w:hAnsi="Arial"/>
          <w:sz w:val="16"/>
          <w:szCs w:val="16"/>
          <w:color w:val="auto"/>
        </w:rPr>
        <w:t>all data and information (including all financial information and statements) provided to Provider by or on behalf of Client and for the implementation of any Advice provided as part of the Services. Provider may use and rely on information and data furnished by the Client or others without verification. The performance of the Services is dependent upon the timely performance of the Client’s responsibilities under the Contract and timely decisions and approvals of the Client in connection with the Services. Provider shall be entitled to rely on all decisions and approvals of the Client.</w:t>
      </w:r>
    </w:p>
    <w:p>
      <w:pPr>
        <w:spacing w:after="0" w:line="6" w:lineRule="exact"/>
        <w:rPr>
          <w:sz w:val="20"/>
          <w:szCs w:val="20"/>
          <w:color w:val="auto"/>
        </w:rPr>
      </w:pPr>
    </w:p>
    <w:p>
      <w:pPr>
        <w:jc w:val="both"/>
        <w:ind w:left="357" w:hanging="260"/>
        <w:spacing w:after="0" w:line="300" w:lineRule="auto"/>
        <w:tabs>
          <w:tab w:leader="none" w:pos="362"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Client shall be solely responsible for, among other things: (A) making all management decisions and performing all management functions (even if relying solely on Advice provided under the Services), (B) designating one or more individuals who possess suitable skill, knowledge, and/or experience, preferably within senior management to oversee and/or approve the Services, (C) evaluating the adequacy and results of the Services, (D) accepting responsibility for implementing the results of the Services, and (E) establishing and maintaining internal controls, including, without limitation, monitoring ongoing activities. The provisions in the preceding sentence are not intended to and do not alter, modify or change in any manner the duties and obligations of Provider as agreed to and set forth in this Contract. With respect to the data and information provided by the Client to Provider for the performance of the Services, Provider is entitled to assume that the Client has all rights required to provide such data and information.</w:t>
      </w:r>
    </w:p>
    <w:p>
      <w:pPr>
        <w:spacing w:after="0" w:line="314" w:lineRule="exact"/>
        <w:rPr>
          <w:rFonts w:ascii="Arial" w:cs="Arial" w:eastAsia="Arial" w:hAnsi="Arial"/>
          <w:sz w:val="16"/>
          <w:szCs w:val="16"/>
          <w:color w:val="auto"/>
        </w:rPr>
      </w:pPr>
    </w:p>
    <w:p>
      <w:pPr>
        <w:ind w:left="257" w:hanging="257"/>
        <w:spacing w:after="0"/>
        <w:tabs>
          <w:tab w:leader="none" w:pos="257" w:val="left"/>
        </w:tabs>
        <w:numPr>
          <w:ilvl w:val="0"/>
          <w:numId w:val="73"/>
        </w:numPr>
        <w:rPr>
          <w:rFonts w:ascii="Arial" w:cs="Arial" w:eastAsia="Arial" w:hAnsi="Arial"/>
          <w:sz w:val="13"/>
          <w:szCs w:val="13"/>
          <w:color w:val="auto"/>
        </w:rPr>
      </w:pPr>
      <w:r>
        <w:rPr>
          <w:rFonts w:ascii="Arial" w:cs="Arial" w:eastAsia="Arial" w:hAnsi="Arial"/>
          <w:sz w:val="16"/>
          <w:szCs w:val="16"/>
          <w:color w:val="auto"/>
        </w:rPr>
        <w:t>Responsibilities of Provider</w:t>
      </w:r>
    </w:p>
    <w:p>
      <w:pPr>
        <w:spacing w:after="0" w:line="302" w:lineRule="exact"/>
        <w:rPr>
          <w:sz w:val="20"/>
          <w:szCs w:val="20"/>
          <w:color w:val="auto"/>
        </w:rPr>
      </w:pPr>
    </w:p>
    <w:p>
      <w:pPr>
        <w:jc w:val="both"/>
        <w:ind w:left="357" w:hanging="259"/>
        <w:spacing w:after="0" w:line="301" w:lineRule="auto"/>
        <w:tabs>
          <w:tab w:leader="none" w:pos="352" w:val="left"/>
        </w:tabs>
        <w:numPr>
          <w:ilvl w:val="0"/>
          <w:numId w:val="74"/>
        </w:numPr>
        <w:rPr>
          <w:rFonts w:ascii="Arial" w:cs="Arial" w:eastAsia="Arial" w:hAnsi="Arial"/>
          <w:sz w:val="13"/>
          <w:szCs w:val="13"/>
          <w:color w:val="auto"/>
        </w:rPr>
      </w:pPr>
      <w:r>
        <w:rPr>
          <w:rFonts w:ascii="Arial" w:cs="Arial" w:eastAsia="Arial" w:hAnsi="Arial"/>
          <w:sz w:val="16"/>
          <w:szCs w:val="16"/>
          <w:color w:val="auto"/>
        </w:rPr>
        <w:t>Any Services provided by or on behalf of Provider will be based upon regulations (including regulations under the Securities and Exchange Commission) and generally accepted accounting principles in the United States (“GAAP”) in effect at the time the Services are provided. Subsequent changes in or to the foregoing (for which Provider shall have no responsibility to advise the Client) may result in the Services provided by or on behalf of Provider being rendered invalid.</w:t>
      </w:r>
    </w:p>
    <w:p>
      <w:pPr>
        <w:spacing w:after="0" w:line="96" w:lineRule="exact"/>
        <w:rPr>
          <w:rFonts w:ascii="Arial" w:cs="Arial" w:eastAsia="Arial" w:hAnsi="Arial"/>
          <w:sz w:val="13"/>
          <w:szCs w:val="13"/>
          <w:color w:val="auto"/>
        </w:rPr>
      </w:pPr>
    </w:p>
    <w:p>
      <w:pPr>
        <w:jc w:val="both"/>
        <w:ind w:left="357" w:hanging="259"/>
        <w:spacing w:after="0" w:line="302" w:lineRule="auto"/>
        <w:tabs>
          <w:tab w:leader="none" w:pos="355" w:val="left"/>
        </w:tabs>
        <w:numPr>
          <w:ilvl w:val="0"/>
          <w:numId w:val="74"/>
        </w:numPr>
        <w:rPr>
          <w:rFonts w:ascii="Arial" w:cs="Arial" w:eastAsia="Arial" w:hAnsi="Arial"/>
          <w:sz w:val="13"/>
          <w:szCs w:val="13"/>
          <w:color w:val="auto"/>
        </w:rPr>
      </w:pPr>
      <w:r>
        <w:rPr>
          <w:rFonts w:ascii="Arial" w:cs="Arial" w:eastAsia="Arial" w:hAnsi="Arial"/>
          <w:sz w:val="16"/>
          <w:szCs w:val="16"/>
          <w:color w:val="auto"/>
        </w:rPr>
        <w:t>Except as specifically agreed to in writing, Provider shall not assume any responsibility for any financial reporting with respect to the Services. Provider shall have no responsibility to address any legal matters or questions of law.</w:t>
      </w:r>
    </w:p>
    <w:p>
      <w:pPr>
        <w:spacing w:after="0" w:line="70" w:lineRule="exact"/>
        <w:rPr>
          <w:rFonts w:ascii="Arial" w:cs="Arial" w:eastAsia="Arial" w:hAnsi="Arial"/>
          <w:sz w:val="13"/>
          <w:szCs w:val="13"/>
          <w:color w:val="auto"/>
        </w:rPr>
      </w:pPr>
    </w:p>
    <w:p>
      <w:pPr>
        <w:jc w:val="both"/>
        <w:ind w:left="357" w:hanging="259"/>
        <w:spacing w:after="0" w:line="303" w:lineRule="auto"/>
        <w:tabs>
          <w:tab w:leader="none" w:pos="358" w:val="left"/>
        </w:tabs>
        <w:numPr>
          <w:ilvl w:val="0"/>
          <w:numId w:val="74"/>
        </w:numPr>
        <w:rPr>
          <w:rFonts w:ascii="Arial" w:cs="Arial" w:eastAsia="Arial" w:hAnsi="Arial"/>
          <w:sz w:val="13"/>
          <w:szCs w:val="13"/>
          <w:color w:val="auto"/>
        </w:rPr>
      </w:pPr>
      <w:r>
        <w:rPr>
          <w:rFonts w:ascii="Arial" w:cs="Arial" w:eastAsia="Arial" w:hAnsi="Arial"/>
          <w:sz w:val="16"/>
          <w:szCs w:val="16"/>
          <w:color w:val="auto"/>
        </w:rPr>
        <w:t>In formulating any Advice as part of the Services, Provider may discuss ideas with the Client orally or show the Client drafts of such Advice. To the extent that the content of drafts or oral Advice are</w:t>
      </w:r>
    </w:p>
    <w:p>
      <w:pPr>
        <w:sectPr>
          <w:pgSz w:w="11900" w:h="16838" w:orient="portrait"/>
          <w:cols w:equalWidth="0" w:num="2">
            <w:col w:w="5783" w:space="720"/>
            <w:col w:w="4617"/>
          </w:cols>
          <w:pgMar w:left="320" w:top="122" w:right="45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color w:val="auto"/>
        </w:rPr>
        <w:t>[Type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960" w:right="560"/>
        <w:spacing w:after="0" w:line="302" w:lineRule="auto"/>
        <w:rPr>
          <w:sz w:val="20"/>
          <w:szCs w:val="20"/>
          <w:color w:val="auto"/>
        </w:rPr>
      </w:pPr>
      <w:r>
        <w:rPr>
          <w:rFonts w:ascii="Arial" w:cs="Arial" w:eastAsia="Arial" w:hAnsi="Arial"/>
          <w:sz w:val="16"/>
          <w:szCs w:val="16"/>
          <w:color w:val="auto"/>
        </w:rPr>
        <w:t>expected to be finalized and confirmed to the Client in writing, such confirmed Advice shall supersede any previous drafts or oral Advice. Provider shall not be responsible if the Client or others choose to rely on, act or refrain from acting on the basis of any drafts or oral Advice.</w:t>
      </w:r>
    </w:p>
    <w:p>
      <w:pPr>
        <w:spacing w:after="0" w:line="327" w:lineRule="exact"/>
        <w:rPr>
          <w:sz w:val="20"/>
          <w:szCs w:val="20"/>
          <w:color w:val="auto"/>
        </w:rPr>
      </w:pPr>
    </w:p>
    <w:p>
      <w:pPr>
        <w:jc w:val="both"/>
        <w:ind w:left="960" w:right="560" w:hanging="253"/>
        <w:spacing w:after="0" w:line="300" w:lineRule="auto"/>
        <w:tabs>
          <w:tab w:leader="none" w:pos="969" w:val="left"/>
        </w:tabs>
        <w:numPr>
          <w:ilvl w:val="0"/>
          <w:numId w:val="75"/>
        </w:numPr>
        <w:rPr>
          <w:rFonts w:ascii="Arial" w:cs="Arial" w:eastAsia="Arial" w:hAnsi="Arial"/>
          <w:sz w:val="13"/>
          <w:szCs w:val="13"/>
          <w:color w:val="auto"/>
        </w:rPr>
      </w:pPr>
      <w:r>
        <w:rPr>
          <w:rFonts w:ascii="Arial" w:cs="Arial" w:eastAsia="Arial" w:hAnsi="Arial"/>
          <w:sz w:val="16"/>
          <w:szCs w:val="16"/>
          <w:color w:val="auto"/>
        </w:rPr>
        <w:t>Provider will use its reasonable endeavors, acting in a commercially appropriate manner, to carry out the Services in accordance with any timetable specified in the Contract. However, it is agreed that any dates specified in the Contract for the performance of any part of the Services, including delivery of any Advice, are estimated dates for planning purposes only. Provider will notify the Client promptly if it expects or encounters any significant delays which will materially affect achievement of any timetable for delivery of the Services.</w:t>
      </w:r>
    </w:p>
    <w:p>
      <w:pPr>
        <w:spacing w:after="0" w:line="89" w:lineRule="exact"/>
        <w:rPr>
          <w:rFonts w:ascii="Arial" w:cs="Arial" w:eastAsia="Arial" w:hAnsi="Arial"/>
          <w:sz w:val="13"/>
          <w:szCs w:val="13"/>
          <w:color w:val="auto"/>
        </w:rPr>
      </w:pPr>
    </w:p>
    <w:p>
      <w:pPr>
        <w:jc w:val="both"/>
        <w:ind w:left="960" w:right="560" w:hanging="253"/>
        <w:spacing w:after="0" w:line="301" w:lineRule="auto"/>
        <w:tabs>
          <w:tab w:leader="none" w:pos="966" w:val="left"/>
        </w:tabs>
        <w:numPr>
          <w:ilvl w:val="0"/>
          <w:numId w:val="75"/>
        </w:numPr>
        <w:rPr>
          <w:rFonts w:ascii="Arial" w:cs="Arial" w:eastAsia="Arial" w:hAnsi="Arial"/>
          <w:sz w:val="13"/>
          <w:szCs w:val="13"/>
          <w:color w:val="auto"/>
        </w:rPr>
      </w:pPr>
      <w:r>
        <w:rPr>
          <w:rFonts w:ascii="Arial" w:cs="Arial" w:eastAsia="Arial" w:hAnsi="Arial"/>
          <w:sz w:val="16"/>
          <w:szCs w:val="16"/>
          <w:color w:val="auto"/>
        </w:rPr>
        <w:t>Unless expressly agreed otherwise in writing, each item of Advice will be deemed accepted (and the Services or relevant part completed) when such Advice has been delivered in its final form and no material objection to the Advice or its content is notified by the Client to Provider in writing within 10 days of delivery or when first use of the Advice is made by or on behalf of the Client, whichever occurs first.</w:t>
      </w:r>
    </w:p>
    <w:p>
      <w:pPr>
        <w:spacing w:after="0" w:line="84" w:lineRule="exact"/>
        <w:rPr>
          <w:rFonts w:ascii="Arial" w:cs="Arial" w:eastAsia="Arial" w:hAnsi="Arial"/>
          <w:sz w:val="13"/>
          <w:szCs w:val="13"/>
          <w:color w:val="auto"/>
        </w:rPr>
      </w:pPr>
    </w:p>
    <w:p>
      <w:pPr>
        <w:jc w:val="both"/>
        <w:ind w:left="960" w:right="560" w:hanging="253"/>
        <w:spacing w:after="0" w:line="302" w:lineRule="auto"/>
        <w:tabs>
          <w:tab w:leader="none" w:pos="969" w:val="left"/>
        </w:tabs>
        <w:numPr>
          <w:ilvl w:val="0"/>
          <w:numId w:val="75"/>
        </w:numPr>
        <w:rPr>
          <w:rFonts w:ascii="Arial" w:cs="Arial" w:eastAsia="Arial" w:hAnsi="Arial"/>
          <w:sz w:val="13"/>
          <w:szCs w:val="13"/>
          <w:color w:val="auto"/>
        </w:rPr>
      </w:pPr>
      <w:r>
        <w:rPr>
          <w:rFonts w:ascii="Arial" w:cs="Arial" w:eastAsia="Arial" w:hAnsi="Arial"/>
          <w:sz w:val="16"/>
          <w:szCs w:val="16"/>
          <w:color w:val="auto"/>
        </w:rPr>
        <w:t>For the performance of the Engagement, Provider is obliged to comply with applicable regulations and its own internal policies of Anti Money Laundering and Financing of Terrorism, for which it may require to the Client information and documentation.</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3. Payment of invoices</w:t>
      </w:r>
    </w:p>
    <w:p>
      <w:pPr>
        <w:jc w:val="both"/>
        <w:ind w:right="540" w:firstLine="243"/>
        <w:spacing w:after="0" w:line="222" w:lineRule="auto"/>
        <w:rPr>
          <w:sz w:val="20"/>
          <w:szCs w:val="20"/>
          <w:color w:val="auto"/>
        </w:rPr>
      </w:pPr>
      <w:r>
        <w:rPr>
          <w:rFonts w:ascii="Arial" w:cs="Arial" w:eastAsia="Arial" w:hAnsi="Arial"/>
          <w:sz w:val="20"/>
          <w:szCs w:val="20"/>
          <w:color w:val="auto"/>
        </w:rPr>
        <w:t xml:space="preserve">2.2 </w:t>
      </w:r>
      <w:r>
        <w:rPr>
          <w:rFonts w:ascii="Arial" w:cs="Arial" w:eastAsia="Arial" w:hAnsi="Arial"/>
          <w:sz w:val="16"/>
          <w:szCs w:val="16"/>
          <w:color w:val="auto"/>
        </w:rPr>
        <w:t>Provider’s invoices are due and payable by the Client within 30</w:t>
      </w:r>
      <w:r>
        <w:rPr>
          <w:rFonts w:ascii="Arial" w:cs="Arial" w:eastAsia="Arial" w:hAnsi="Arial"/>
          <w:sz w:val="20"/>
          <w:szCs w:val="20"/>
          <w:color w:val="auto"/>
        </w:rPr>
        <w:t xml:space="preserve"> </w:t>
      </w:r>
      <w:r>
        <w:rPr>
          <w:rFonts w:ascii="Arial" w:cs="Arial" w:eastAsia="Arial" w:hAnsi="Arial"/>
          <w:sz w:val="16"/>
          <w:szCs w:val="16"/>
          <w:color w:val="auto"/>
        </w:rPr>
        <w:t>days of presentation. Without limiting its other rights or remedies, Provider shall have the right to suspend or terminate the Services entirely or in part if payment is not received by the Due Date. The Client shall be responsible for all taxes, such as VAT, sales and use tax, gross receipts tax, withholding tax, and any similar tax, imposed on or in connection with the Services, other than Provider’s income and property taxes. It is intended that the provisions of this Contract comply with Section 409A of the Internal Revenue Code, and applicable administrative guidance and regulations (“Section 409A”), and all provisions of this Contract shall be construed and interpreted in a manner consistent with the requirements for avoiding taxes and penalties under Section 409A and that all reimbursements provided under this Contract shall be made or provided in accordance with Section 409A. Notwithstanding the foregoing, Client makes no representations or warranties and shall have no responsibility regarding the tax implications of the compensation and benefits to be paid to Provider under this Contract, including under Section 409A.</w:t>
      </w:r>
    </w:p>
    <w:p>
      <w:pPr>
        <w:spacing w:after="0" w:line="200" w:lineRule="exact"/>
        <w:rPr>
          <w:sz w:val="20"/>
          <w:szCs w:val="20"/>
          <w:color w:val="auto"/>
        </w:rPr>
      </w:pPr>
    </w:p>
    <w:p>
      <w:pPr>
        <w:spacing w:after="0" w:line="31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4. 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260" w:hanging="257"/>
        <w:spacing w:after="0" w:line="302" w:lineRule="auto"/>
        <w:tabs>
          <w:tab w:leader="none" w:pos="273" w:val="left"/>
        </w:tabs>
        <w:numPr>
          <w:ilvl w:val="0"/>
          <w:numId w:val="76"/>
        </w:numPr>
        <w:rPr>
          <w:rFonts w:ascii="Arial" w:cs="Arial" w:eastAsia="Arial" w:hAnsi="Arial"/>
          <w:sz w:val="13"/>
          <w:szCs w:val="13"/>
          <w:color w:val="auto"/>
        </w:rPr>
      </w:pPr>
      <w:r>
        <w:rPr>
          <w:rFonts w:ascii="Arial" w:cs="Arial" w:eastAsia="Arial" w:hAnsi="Arial"/>
          <w:sz w:val="16"/>
          <w:szCs w:val="16"/>
          <w:color w:val="auto"/>
        </w:rPr>
        <w:t>An SOW may be terminated by Provider, without cause, by giving written notice to the other party not less than 60 days before the effective date of termination. An SOW may be terminated by Client, without cause, by giving written notice to the other party not less than 60 days before the effective date of termination.</w:t>
      </w:r>
    </w:p>
    <w:p>
      <w:pPr>
        <w:spacing w:after="0" w:line="68" w:lineRule="exact"/>
        <w:rPr>
          <w:rFonts w:ascii="Arial" w:cs="Arial" w:eastAsia="Arial" w:hAnsi="Arial"/>
          <w:sz w:val="13"/>
          <w:szCs w:val="13"/>
          <w:color w:val="auto"/>
        </w:rPr>
      </w:pPr>
    </w:p>
    <w:p>
      <w:pPr>
        <w:jc w:val="both"/>
        <w:ind w:left="260" w:hanging="257"/>
        <w:spacing w:after="0" w:line="300" w:lineRule="auto"/>
        <w:tabs>
          <w:tab w:leader="none" w:pos="259" w:val="left"/>
        </w:tabs>
        <w:numPr>
          <w:ilvl w:val="0"/>
          <w:numId w:val="76"/>
        </w:numPr>
        <w:rPr>
          <w:rFonts w:ascii="Arial" w:cs="Arial" w:eastAsia="Arial" w:hAnsi="Arial"/>
          <w:sz w:val="13"/>
          <w:szCs w:val="13"/>
          <w:color w:val="auto"/>
        </w:rPr>
      </w:pPr>
      <w:r>
        <w:rPr>
          <w:rFonts w:ascii="Arial" w:cs="Arial" w:eastAsia="Arial" w:hAnsi="Arial"/>
          <w:sz w:val="16"/>
          <w:szCs w:val="16"/>
          <w:color w:val="auto"/>
        </w:rPr>
        <w:t>Either party may terminate the Contract by written notice to the other party for convenience, on not less than 90 days’ prior written notice to the other party, or on or at any time after the occurrence of any of the following events: (i) a material breach by the other party of an obligation under the Contract and, if the breach is capable of remedy, the defaulting party failing to remedy the breach within 30 days of receipt of notice of such breach, (ii) the other party becoming insolvent, (iii) the other party having a resolution passed or a petition presented for its winding-up or dissolution (other than for the purpose of a solvent amalgamation or reconstruction), (iv) the making of an administration order in relation to the other party, or the appointment of a receiver over, or an encumbrancer taking possession of or selling, an asset of the other party , (v) the other party making an arrangement or composition with its creditors generally or making an application to a court of competent jurisdiction for protection from its creditors generally.</w:t>
      </w:r>
    </w:p>
    <w:p>
      <w:pPr>
        <w:spacing w:after="0" w:line="288" w:lineRule="exact"/>
        <w:rPr>
          <w:rFonts w:ascii="Arial" w:cs="Arial" w:eastAsia="Arial" w:hAnsi="Arial"/>
          <w:sz w:val="13"/>
          <w:szCs w:val="13"/>
          <w:color w:val="auto"/>
        </w:rPr>
      </w:pPr>
    </w:p>
    <w:p>
      <w:pPr>
        <w:jc w:val="both"/>
        <w:ind w:left="260"/>
        <w:spacing w:after="0" w:line="300" w:lineRule="auto"/>
        <w:rPr>
          <w:rFonts w:ascii="Arial" w:cs="Arial" w:eastAsia="Arial" w:hAnsi="Arial"/>
          <w:sz w:val="13"/>
          <w:szCs w:val="13"/>
          <w:color w:val="auto"/>
        </w:rPr>
      </w:pPr>
      <w:r>
        <w:rPr>
          <w:rFonts w:ascii="Arial" w:cs="Arial" w:eastAsia="Arial" w:hAnsi="Arial"/>
          <w:sz w:val="16"/>
          <w:szCs w:val="16"/>
          <w:color w:val="auto"/>
        </w:rPr>
        <w:t>Provider may terminate the Contract in whole or in part, with immediate effect upon written notice to the Client if Provider determines that (i) a governmental, regulatory, or professional entity or other entity having the force of law has introduced a new, or modified an existing law, rule, regulation, interpretation, or decision, the result of which would render Provider’s performance of any part of the Contract illegal or otherwise unlawful or in conflict with professional rules or (ii) circumstances change (including, without limitation, changes in ownership of the Client or of its Affiliates) so that Provider’s performance of any part of the Contract would be illegal or otherwise unlawful or in conflict with independence or professional rules.</w:t>
      </w:r>
    </w:p>
    <w:p>
      <w:pPr>
        <w:spacing w:after="0" w:line="74" w:lineRule="exact"/>
        <w:rPr>
          <w:rFonts w:ascii="Arial" w:cs="Arial" w:eastAsia="Arial" w:hAnsi="Arial"/>
          <w:sz w:val="13"/>
          <w:szCs w:val="13"/>
          <w:color w:val="auto"/>
        </w:rPr>
      </w:pPr>
    </w:p>
    <w:p>
      <w:pPr>
        <w:jc w:val="both"/>
        <w:ind w:left="260" w:hanging="257"/>
        <w:spacing w:after="0" w:line="303" w:lineRule="auto"/>
        <w:tabs>
          <w:tab w:leader="none" w:pos="265" w:val="left"/>
        </w:tabs>
        <w:numPr>
          <w:ilvl w:val="0"/>
          <w:numId w:val="76"/>
        </w:numPr>
        <w:rPr>
          <w:rFonts w:ascii="Arial" w:cs="Arial" w:eastAsia="Arial" w:hAnsi="Arial"/>
          <w:sz w:val="13"/>
          <w:szCs w:val="13"/>
          <w:color w:val="auto"/>
        </w:rPr>
      </w:pPr>
      <w:r>
        <w:rPr>
          <w:rFonts w:ascii="Arial" w:cs="Arial" w:eastAsia="Arial" w:hAnsi="Arial"/>
          <w:sz w:val="16"/>
          <w:szCs w:val="16"/>
          <w:color w:val="auto"/>
        </w:rPr>
        <w:t>Upon termination of the Contract for any reason, the Client will compensate Provider in accordance with the terms of the Contract for the Services performed and expenses incurred up to the effective date of termination.</w:t>
      </w:r>
    </w:p>
    <w:p>
      <w:pPr>
        <w:spacing w:after="0" w:line="69" w:lineRule="exact"/>
        <w:rPr>
          <w:rFonts w:ascii="Arial" w:cs="Arial" w:eastAsia="Arial" w:hAnsi="Arial"/>
          <w:sz w:val="13"/>
          <w:szCs w:val="13"/>
          <w:color w:val="auto"/>
        </w:rPr>
      </w:pPr>
    </w:p>
    <w:p>
      <w:pPr>
        <w:jc w:val="both"/>
        <w:ind w:left="260" w:hanging="257"/>
        <w:spacing w:after="0" w:line="306" w:lineRule="auto"/>
        <w:tabs>
          <w:tab w:leader="none" w:pos="259" w:val="left"/>
        </w:tabs>
        <w:numPr>
          <w:ilvl w:val="0"/>
          <w:numId w:val="76"/>
        </w:numPr>
        <w:rPr>
          <w:rFonts w:ascii="Arial" w:cs="Arial" w:eastAsia="Arial" w:hAnsi="Arial"/>
          <w:sz w:val="13"/>
          <w:szCs w:val="13"/>
          <w:color w:val="auto"/>
        </w:rPr>
      </w:pPr>
      <w:r>
        <w:rPr>
          <w:rFonts w:ascii="Arial" w:cs="Arial" w:eastAsia="Arial" w:hAnsi="Arial"/>
          <w:sz w:val="16"/>
          <w:szCs w:val="16"/>
          <w:color w:val="auto"/>
        </w:rPr>
        <w:t>Termination of any part of the Contract (including a specific SOW) shall not affect the remainder of the Contract (including other relevant SOWs included in the Contract).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Ownership of Provider’s Property &amp; Work Products</w:t>
      </w:r>
    </w:p>
    <w:p>
      <w:pPr>
        <w:spacing w:after="0" w:line="106" w:lineRule="exact"/>
        <w:rPr>
          <w:sz w:val="20"/>
          <w:szCs w:val="20"/>
          <w:color w:val="auto"/>
        </w:rPr>
      </w:pPr>
    </w:p>
    <w:p>
      <w:pPr>
        <w:jc w:val="both"/>
        <w:ind w:left="260" w:hanging="257"/>
        <w:spacing w:after="0" w:line="306" w:lineRule="auto"/>
        <w:tabs>
          <w:tab w:leader="none" w:pos="273" w:val="left"/>
        </w:tabs>
        <w:numPr>
          <w:ilvl w:val="0"/>
          <w:numId w:val="77"/>
        </w:numPr>
        <w:rPr>
          <w:rFonts w:ascii="Arial" w:cs="Arial" w:eastAsia="Arial" w:hAnsi="Arial"/>
          <w:sz w:val="13"/>
          <w:szCs w:val="13"/>
          <w:color w:val="auto"/>
        </w:rPr>
      </w:pPr>
      <w:r>
        <w:rPr>
          <w:rFonts w:ascii="Arial" w:cs="Arial" w:eastAsia="Arial" w:hAnsi="Arial"/>
          <w:sz w:val="16"/>
          <w:szCs w:val="16"/>
          <w:color w:val="auto"/>
        </w:rPr>
        <w:t>To the extent that any property (whether tangible or intangible) of Provider is used or developed in connection with the Contract, such property,</w:t>
      </w:r>
    </w:p>
    <w:p>
      <w:pPr>
        <w:sectPr>
          <w:pgSz w:w="11900" w:h="16838" w:orient="portrait"/>
          <w:cols w:equalWidth="0" w:num="2">
            <w:col w:w="5780" w:space="720"/>
            <w:col w:w="4620"/>
          </w:cols>
          <w:pgMar w:left="320" w:top="122" w:right="45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color w:val="auto"/>
        </w:rPr>
        <w:t>[Type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860" w:right="543"/>
        <w:spacing w:after="0" w:line="302" w:lineRule="auto"/>
        <w:rPr>
          <w:sz w:val="20"/>
          <w:szCs w:val="20"/>
          <w:color w:val="auto"/>
        </w:rPr>
      </w:pPr>
      <w:r>
        <w:rPr>
          <w:rFonts w:ascii="Arial" w:cs="Arial" w:eastAsia="Arial" w:hAnsi="Arial"/>
          <w:sz w:val="16"/>
          <w:szCs w:val="16"/>
          <w:color w:val="auto"/>
        </w:rPr>
        <w:t>including work papers, shall remain the property of Provider. Subject to payment of all of Provider’s fees due in connection with the Services and the Contract, the Client shall obtain ownership of such Advice or Artifact for the purpose set out in the Contract and in compliance with the provisions of the Contract. Any intellectual property and other proprietary rights in the material and data provided by the Client for performing the Services shall remain the exclusive property of Client.</w:t>
      </w:r>
    </w:p>
    <w:p>
      <w:pPr>
        <w:spacing w:after="0" w:line="308" w:lineRule="exact"/>
        <w:rPr>
          <w:sz w:val="20"/>
          <w:szCs w:val="20"/>
          <w:color w:val="auto"/>
        </w:rPr>
      </w:pPr>
    </w:p>
    <w:p>
      <w:pPr>
        <w:jc w:val="both"/>
        <w:ind w:left="860" w:right="563" w:hanging="251"/>
        <w:spacing w:after="0" w:line="302" w:lineRule="auto"/>
        <w:tabs>
          <w:tab w:leader="none" w:pos="859" w:val="left"/>
        </w:tabs>
        <w:numPr>
          <w:ilvl w:val="0"/>
          <w:numId w:val="78"/>
        </w:numPr>
        <w:rPr>
          <w:rFonts w:ascii="Arial" w:cs="Arial" w:eastAsia="Arial" w:hAnsi="Arial"/>
          <w:sz w:val="13"/>
          <w:szCs w:val="13"/>
          <w:color w:val="auto"/>
        </w:rPr>
      </w:pPr>
      <w:r>
        <w:rPr>
          <w:rFonts w:ascii="Arial" w:cs="Arial" w:eastAsia="Arial" w:hAnsi="Arial"/>
          <w:sz w:val="16"/>
          <w:szCs w:val="16"/>
          <w:color w:val="auto"/>
        </w:rPr>
        <w:t>Provider, in connection with performing the Services, may develop or acquire general experience, skills, knowledge and ideas. Provider may use and disclose such experience, skills, knowledge and ideas subject to the obligations of confidentiality set out in Paragraph 10.</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6. Limitation on Damages</w:t>
      </w:r>
    </w:p>
    <w:p>
      <w:pPr>
        <w:spacing w:after="0" w:line="106" w:lineRule="exact"/>
        <w:rPr>
          <w:sz w:val="20"/>
          <w:szCs w:val="20"/>
          <w:color w:val="auto"/>
        </w:rPr>
      </w:pPr>
    </w:p>
    <w:p>
      <w:pPr>
        <w:jc w:val="both"/>
        <w:ind w:left="860" w:right="563" w:hanging="251"/>
        <w:spacing w:after="0" w:line="302" w:lineRule="auto"/>
        <w:tabs>
          <w:tab w:leader="none" w:pos="873" w:val="left"/>
        </w:tabs>
        <w:numPr>
          <w:ilvl w:val="0"/>
          <w:numId w:val="79"/>
        </w:numPr>
        <w:rPr>
          <w:rFonts w:ascii="Arial" w:cs="Arial" w:eastAsia="Arial" w:hAnsi="Arial"/>
          <w:sz w:val="13"/>
          <w:szCs w:val="13"/>
          <w:color w:val="auto"/>
        </w:rPr>
      </w:pPr>
      <w:r>
        <w:rPr>
          <w:rFonts w:ascii="Arial" w:cs="Arial" w:eastAsia="Arial" w:hAnsi="Arial"/>
          <w:sz w:val="16"/>
          <w:szCs w:val="16"/>
          <w:color w:val="auto"/>
        </w:rPr>
        <w:t>In circumstances where all or any portion of the provisions of this Paragraph 6 is finally determined to be unenforceable, the aggregate liability of a party and any personnel for any Claim shall not exceed an amount in excess of amounts billed under the applicable SOW.</w:t>
      </w:r>
    </w:p>
    <w:p>
      <w:pPr>
        <w:spacing w:after="0" w:line="70" w:lineRule="exact"/>
        <w:rPr>
          <w:rFonts w:ascii="Arial" w:cs="Arial" w:eastAsia="Arial" w:hAnsi="Arial"/>
          <w:sz w:val="13"/>
          <w:szCs w:val="13"/>
          <w:color w:val="auto"/>
        </w:rPr>
      </w:pPr>
    </w:p>
    <w:p>
      <w:pPr>
        <w:ind w:left="860" w:right="563" w:hanging="251"/>
        <w:spacing w:after="0" w:line="313" w:lineRule="auto"/>
        <w:tabs>
          <w:tab w:leader="none" w:pos="859" w:val="left"/>
        </w:tabs>
        <w:numPr>
          <w:ilvl w:val="0"/>
          <w:numId w:val="79"/>
        </w:numPr>
        <w:rPr>
          <w:rFonts w:ascii="Arial" w:cs="Arial" w:eastAsia="Arial" w:hAnsi="Arial"/>
          <w:sz w:val="13"/>
          <w:szCs w:val="13"/>
          <w:color w:val="auto"/>
        </w:rPr>
      </w:pPr>
      <w:r>
        <w:rPr>
          <w:rFonts w:ascii="Arial" w:cs="Arial" w:eastAsia="Arial" w:hAnsi="Arial"/>
          <w:sz w:val="16"/>
          <w:szCs w:val="16"/>
          <w:color w:val="auto"/>
        </w:rPr>
        <w:t>Provider’s responsibility for the Services is solely towards the Client.</w:t>
      </w:r>
    </w:p>
    <w:p>
      <w:pPr>
        <w:spacing w:after="0" w:line="60" w:lineRule="exact"/>
        <w:rPr>
          <w:rFonts w:ascii="Arial" w:cs="Arial" w:eastAsia="Arial" w:hAnsi="Arial"/>
          <w:sz w:val="13"/>
          <w:szCs w:val="13"/>
          <w:color w:val="auto"/>
        </w:rPr>
      </w:pPr>
    </w:p>
    <w:p>
      <w:pPr>
        <w:jc w:val="both"/>
        <w:ind w:left="860" w:right="563" w:hanging="251"/>
        <w:spacing w:after="0" w:line="306" w:lineRule="auto"/>
        <w:tabs>
          <w:tab w:leader="none" w:pos="865" w:val="left"/>
        </w:tabs>
        <w:numPr>
          <w:ilvl w:val="0"/>
          <w:numId w:val="79"/>
        </w:numPr>
        <w:rPr>
          <w:rFonts w:ascii="Arial" w:cs="Arial" w:eastAsia="Arial" w:hAnsi="Arial"/>
          <w:sz w:val="13"/>
          <w:szCs w:val="13"/>
          <w:color w:val="auto"/>
        </w:rPr>
      </w:pPr>
      <w:r>
        <w:rPr>
          <w:rFonts w:ascii="Arial" w:cs="Arial" w:eastAsia="Arial" w:hAnsi="Arial"/>
          <w:sz w:val="16"/>
          <w:szCs w:val="16"/>
          <w:color w:val="auto"/>
        </w:rPr>
        <w:t>The provisions of Paragraph 6 shall not apply to any liability which by the governing law of the Contract it is unlawful to limit or exclude.</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7. Limitation on Warranties</w:t>
      </w:r>
    </w:p>
    <w:p>
      <w:pPr>
        <w:spacing w:after="0" w:line="106" w:lineRule="exact"/>
        <w:rPr>
          <w:sz w:val="20"/>
          <w:szCs w:val="20"/>
          <w:color w:val="auto"/>
        </w:rPr>
      </w:pPr>
    </w:p>
    <w:p>
      <w:pPr>
        <w:ind w:left="860" w:right="563" w:hanging="251"/>
        <w:spacing w:after="0" w:line="313" w:lineRule="auto"/>
        <w:tabs>
          <w:tab w:leader="none" w:pos="873" w:val="left"/>
        </w:tabs>
        <w:numPr>
          <w:ilvl w:val="0"/>
          <w:numId w:val="80"/>
        </w:numPr>
        <w:rPr>
          <w:rFonts w:ascii="Arial" w:cs="Arial" w:eastAsia="Arial" w:hAnsi="Arial"/>
          <w:sz w:val="13"/>
          <w:szCs w:val="13"/>
          <w:color w:val="auto"/>
        </w:rPr>
      </w:pPr>
      <w:r>
        <w:rPr>
          <w:rFonts w:ascii="Arial" w:cs="Arial" w:eastAsia="Arial" w:hAnsi="Arial"/>
          <w:sz w:val="16"/>
          <w:szCs w:val="16"/>
          <w:color w:val="auto"/>
        </w:rPr>
        <w:t>Provider warrants that it shall perform the Services in good faith and with professional skill and care.</w:t>
      </w:r>
    </w:p>
    <w:p>
      <w:pPr>
        <w:spacing w:after="0" w:line="60" w:lineRule="exact"/>
        <w:rPr>
          <w:rFonts w:ascii="Arial" w:cs="Arial" w:eastAsia="Arial" w:hAnsi="Arial"/>
          <w:sz w:val="13"/>
          <w:szCs w:val="13"/>
          <w:color w:val="auto"/>
        </w:rPr>
      </w:pPr>
    </w:p>
    <w:p>
      <w:pPr>
        <w:ind w:left="860" w:right="563" w:hanging="251"/>
        <w:spacing w:after="0" w:line="313" w:lineRule="auto"/>
        <w:tabs>
          <w:tab w:leader="none" w:pos="859" w:val="left"/>
        </w:tabs>
        <w:numPr>
          <w:ilvl w:val="0"/>
          <w:numId w:val="80"/>
        </w:numPr>
        <w:rPr>
          <w:rFonts w:ascii="Arial" w:cs="Arial" w:eastAsia="Arial" w:hAnsi="Arial"/>
          <w:sz w:val="13"/>
          <w:szCs w:val="13"/>
          <w:color w:val="auto"/>
        </w:rPr>
      </w:pPr>
      <w:r>
        <w:rPr>
          <w:rFonts w:ascii="Arial" w:cs="Arial" w:eastAsia="Arial" w:hAnsi="Arial"/>
          <w:sz w:val="16"/>
          <w:szCs w:val="16"/>
          <w:color w:val="auto"/>
        </w:rPr>
        <w:t>To the fullest extent permitted by law Provider disclaims all other warranties, either express or implied.</w:t>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8. Force Majeure</w:t>
      </w:r>
    </w:p>
    <w:p>
      <w:pPr>
        <w:spacing w:after="0" w:line="106" w:lineRule="exact"/>
        <w:rPr>
          <w:sz w:val="20"/>
          <w:szCs w:val="20"/>
          <w:color w:val="auto"/>
        </w:rPr>
      </w:pPr>
    </w:p>
    <w:p>
      <w:pPr>
        <w:jc w:val="both"/>
        <w:ind w:left="860" w:right="563" w:hanging="251"/>
        <w:spacing w:after="0" w:line="300" w:lineRule="auto"/>
        <w:tabs>
          <w:tab w:leader="none" w:pos="873" w:val="left"/>
        </w:tabs>
        <w:numPr>
          <w:ilvl w:val="0"/>
          <w:numId w:val="81"/>
        </w:numPr>
        <w:rPr>
          <w:rFonts w:ascii="Arial" w:cs="Arial" w:eastAsia="Arial" w:hAnsi="Arial"/>
          <w:sz w:val="13"/>
          <w:szCs w:val="13"/>
          <w:color w:val="auto"/>
        </w:rPr>
      </w:pPr>
      <w:r>
        <w:rPr>
          <w:rFonts w:ascii="Arial" w:cs="Arial" w:eastAsia="Arial" w:hAnsi="Arial"/>
          <w:sz w:val="16"/>
          <w:szCs w:val="16"/>
          <w:color w:val="auto"/>
        </w:rPr>
        <w:t>Neither party shall be liable for any delays or non-performance resulting from circumstances or causes beyond its reasonable control, including, without limitation , acts or omissions or the failure to cooperate by the other party (including, without limitation, entities or individuals under its control, or any of their respective officers, directors, employees, other personnel and agents), fire or other casualty, act of God, epidemic, pandemic, strike or labor dispute, war or other violence, or any law, order or requirement of any governmental agency or authority.</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9.</w:t>
      </w:r>
    </w:p>
    <w:p>
      <w:pPr>
        <w:spacing w:after="0" w:line="100" w:lineRule="exact"/>
        <w:rPr>
          <w:sz w:val="20"/>
          <w:szCs w:val="20"/>
          <w:color w:val="auto"/>
        </w:rPr>
      </w:pPr>
    </w:p>
    <w:p>
      <w:pPr>
        <w:ind w:left="880" w:hanging="270"/>
        <w:spacing w:after="0"/>
        <w:tabs>
          <w:tab w:leader="none" w:pos="880" w:val="left"/>
        </w:tabs>
        <w:numPr>
          <w:ilvl w:val="1"/>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Confidentiality</w:t>
      </w:r>
    </w:p>
    <w:p>
      <w:pPr>
        <w:spacing w:after="0" w:line="106" w:lineRule="exact"/>
        <w:rPr>
          <w:rFonts w:ascii="Arial" w:cs="Arial" w:eastAsia="Arial" w:hAnsi="Arial"/>
          <w:sz w:val="16"/>
          <w:szCs w:val="16"/>
          <w:b w:val="1"/>
          <w:bCs w:val="1"/>
          <w:color w:val="auto"/>
        </w:rPr>
      </w:pPr>
    </w:p>
    <w:p>
      <w:pPr>
        <w:jc w:val="both"/>
        <w:ind w:left="860" w:right="543" w:hanging="251"/>
        <w:spacing w:after="0" w:line="285" w:lineRule="auto"/>
        <w:tabs>
          <w:tab w:leader="none" w:pos="873" w:val="left"/>
        </w:tabs>
        <w:numPr>
          <w:ilvl w:val="0"/>
          <w:numId w:val="83"/>
        </w:numPr>
        <w:rPr>
          <w:rFonts w:ascii="Arial" w:cs="Arial" w:eastAsia="Arial" w:hAnsi="Arial"/>
          <w:sz w:val="13"/>
          <w:szCs w:val="13"/>
          <w:color w:val="auto"/>
        </w:rPr>
      </w:pPr>
      <w:r>
        <w:rPr>
          <w:rFonts w:ascii="Arial" w:cs="Arial" w:eastAsia="Arial" w:hAnsi="Arial"/>
          <w:sz w:val="16"/>
          <w:szCs w:val="16"/>
          <w:color w:val="auto"/>
        </w:rPr>
        <w:t>To the extent that, in connection with the Contract, Provider comes into possession of any information related to the Services, trade secrets or other proprietary information relating to the Client which is either designated by the disclosing party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257"/>
        <w:spacing w:after="0" w:line="284" w:lineRule="auto"/>
        <w:rPr>
          <w:sz w:val="20"/>
          <w:szCs w:val="20"/>
          <w:color w:val="auto"/>
        </w:rPr>
      </w:pPr>
      <w:r>
        <w:rPr>
          <w:rFonts w:ascii="Arial" w:cs="Arial" w:eastAsia="Arial" w:hAnsi="Arial"/>
          <w:sz w:val="16"/>
          <w:szCs w:val="16"/>
          <w:color w:val="auto"/>
        </w:rPr>
        <w:t>confidential or is by its nature clearly confidential (“Confidential Information”), Provider shall not disclose such Confidential Information to any third party unless directed to by the Client or unless required by law, regulation, judicial or administrative process, or in accordance with applicable professional standards, or in connection with potential or actual mediation, arbitration or litigation.</w:t>
      </w:r>
    </w:p>
    <w:p>
      <w:pPr>
        <w:spacing w:after="0" w:line="69" w:lineRule="exact"/>
        <w:rPr>
          <w:sz w:val="20"/>
          <w:szCs w:val="20"/>
          <w:color w:val="auto"/>
        </w:rPr>
      </w:pPr>
    </w:p>
    <w:p>
      <w:pPr>
        <w:ind w:left="257" w:hanging="257"/>
        <w:spacing w:after="0" w:line="295" w:lineRule="auto"/>
        <w:tabs>
          <w:tab w:leader="none" w:pos="256" w:val="left"/>
        </w:tabs>
        <w:numPr>
          <w:ilvl w:val="0"/>
          <w:numId w:val="84"/>
        </w:numPr>
        <w:rPr>
          <w:rFonts w:ascii="Arial" w:cs="Arial" w:eastAsia="Arial" w:hAnsi="Arial"/>
          <w:sz w:val="13"/>
          <w:szCs w:val="13"/>
          <w:color w:val="auto"/>
        </w:rPr>
      </w:pPr>
      <w:r>
        <w:rPr>
          <w:rFonts w:ascii="Arial" w:cs="Arial" w:eastAsia="Arial" w:hAnsi="Arial"/>
          <w:sz w:val="16"/>
          <w:szCs w:val="16"/>
          <w:color w:val="auto"/>
        </w:rPr>
        <w:t>The obligation of confidentiality shall not apply to the extent such Confidential Information</w:t>
      </w:r>
    </w:p>
    <w:p>
      <w:pPr>
        <w:spacing w:after="0" w:line="101" w:lineRule="exact"/>
        <w:rPr>
          <w:rFonts w:ascii="Arial" w:cs="Arial" w:eastAsia="Arial" w:hAnsi="Arial"/>
          <w:sz w:val="13"/>
          <w:szCs w:val="13"/>
          <w:color w:val="auto"/>
        </w:rPr>
      </w:pPr>
    </w:p>
    <w:p>
      <w:pPr>
        <w:jc w:val="both"/>
        <w:ind w:left="357" w:right="20" w:hanging="259"/>
        <w:spacing w:after="0" w:line="286" w:lineRule="auto"/>
        <w:tabs>
          <w:tab w:leader="none" w:pos="352" w:val="left"/>
        </w:tabs>
        <w:numPr>
          <w:ilvl w:val="2"/>
          <w:numId w:val="84"/>
        </w:numPr>
        <w:rPr>
          <w:rFonts w:ascii="Arial" w:cs="Arial" w:eastAsia="Arial" w:hAnsi="Arial"/>
          <w:sz w:val="13"/>
          <w:szCs w:val="13"/>
          <w:color w:val="auto"/>
        </w:rPr>
      </w:pPr>
      <w:r>
        <w:rPr>
          <w:rFonts w:ascii="Arial" w:cs="Arial" w:eastAsia="Arial" w:hAnsi="Arial"/>
          <w:sz w:val="16"/>
          <w:szCs w:val="16"/>
          <w:color w:val="auto"/>
        </w:rPr>
        <w:t>is or becomes publicly available (including, without limitation, any information filed with any governmental agency and available to the public) other than as the result of the default of Provider,</w:t>
      </w:r>
    </w:p>
    <w:p>
      <w:pPr>
        <w:spacing w:after="0" w:line="108" w:lineRule="exact"/>
        <w:rPr>
          <w:rFonts w:ascii="Arial" w:cs="Arial" w:eastAsia="Arial" w:hAnsi="Arial"/>
          <w:sz w:val="13"/>
          <w:szCs w:val="13"/>
          <w:color w:val="auto"/>
        </w:rPr>
      </w:pPr>
    </w:p>
    <w:p>
      <w:pPr>
        <w:jc w:val="both"/>
        <w:ind w:left="357" w:right="20" w:hanging="259"/>
        <w:spacing w:after="0" w:line="285" w:lineRule="auto"/>
        <w:tabs>
          <w:tab w:leader="none" w:pos="355" w:val="left"/>
        </w:tabs>
        <w:numPr>
          <w:ilvl w:val="2"/>
          <w:numId w:val="84"/>
        </w:numPr>
        <w:rPr>
          <w:rFonts w:ascii="Arial" w:cs="Arial" w:eastAsia="Arial" w:hAnsi="Arial"/>
          <w:sz w:val="13"/>
          <w:szCs w:val="13"/>
          <w:color w:val="auto"/>
        </w:rPr>
      </w:pPr>
      <w:r>
        <w:rPr>
          <w:rFonts w:ascii="Arial" w:cs="Arial" w:eastAsia="Arial" w:hAnsi="Arial"/>
          <w:sz w:val="16"/>
          <w:szCs w:val="16"/>
          <w:color w:val="auto"/>
        </w:rPr>
        <w:t>becomes available to Provider on a non-confidential basis from a source other than the Client which Provider reasonably believes is not prohibited from disclosing such Confidential Information to Provider by an obligation of confidentiality to the Client,</w:t>
      </w:r>
    </w:p>
    <w:p>
      <w:pPr>
        <w:spacing w:after="0" w:line="95" w:lineRule="exact"/>
        <w:rPr>
          <w:rFonts w:ascii="Arial" w:cs="Arial" w:eastAsia="Arial" w:hAnsi="Arial"/>
          <w:sz w:val="13"/>
          <w:szCs w:val="13"/>
          <w:color w:val="auto"/>
        </w:rPr>
      </w:pPr>
    </w:p>
    <w:p>
      <w:pPr>
        <w:ind w:left="357" w:right="20" w:hanging="259"/>
        <w:spacing w:after="0" w:line="295" w:lineRule="auto"/>
        <w:tabs>
          <w:tab w:leader="none" w:pos="358" w:val="left"/>
        </w:tabs>
        <w:numPr>
          <w:ilvl w:val="2"/>
          <w:numId w:val="84"/>
        </w:numPr>
        <w:rPr>
          <w:rFonts w:ascii="Arial" w:cs="Arial" w:eastAsia="Arial" w:hAnsi="Arial"/>
          <w:sz w:val="13"/>
          <w:szCs w:val="13"/>
          <w:color w:val="auto"/>
        </w:rPr>
      </w:pPr>
      <w:r>
        <w:rPr>
          <w:rFonts w:ascii="Arial" w:cs="Arial" w:eastAsia="Arial" w:hAnsi="Arial"/>
          <w:sz w:val="16"/>
          <w:szCs w:val="16"/>
          <w:color w:val="auto"/>
        </w:rPr>
        <w:t>is known by Provider prior to its receipt from the Client without any obligation of confidentiality, or</w:t>
      </w:r>
    </w:p>
    <w:p>
      <w:pPr>
        <w:spacing w:after="0" w:line="101" w:lineRule="exact"/>
        <w:rPr>
          <w:rFonts w:ascii="Arial" w:cs="Arial" w:eastAsia="Arial" w:hAnsi="Arial"/>
          <w:sz w:val="13"/>
          <w:szCs w:val="13"/>
          <w:color w:val="auto"/>
        </w:rPr>
      </w:pPr>
    </w:p>
    <w:p>
      <w:pPr>
        <w:ind w:left="357" w:right="20" w:hanging="259"/>
        <w:spacing w:after="0" w:line="295" w:lineRule="auto"/>
        <w:tabs>
          <w:tab w:leader="none" w:pos="366" w:val="left"/>
        </w:tabs>
        <w:numPr>
          <w:ilvl w:val="2"/>
          <w:numId w:val="84"/>
        </w:numPr>
        <w:rPr>
          <w:rFonts w:ascii="Arial" w:cs="Arial" w:eastAsia="Arial" w:hAnsi="Arial"/>
          <w:sz w:val="13"/>
          <w:szCs w:val="13"/>
          <w:color w:val="auto"/>
        </w:rPr>
      </w:pPr>
      <w:r>
        <w:rPr>
          <w:rFonts w:ascii="Arial" w:cs="Arial" w:eastAsia="Arial" w:hAnsi="Arial"/>
          <w:sz w:val="16"/>
          <w:szCs w:val="16"/>
          <w:color w:val="auto"/>
        </w:rPr>
        <w:t>is developed by Provider independently of the Confidential Information disclosed by the Client.</w:t>
      </w:r>
    </w:p>
    <w:p>
      <w:pPr>
        <w:spacing w:after="0" w:line="87" w:lineRule="exact"/>
        <w:rPr>
          <w:rFonts w:ascii="Arial" w:cs="Arial" w:eastAsia="Arial" w:hAnsi="Arial"/>
          <w:sz w:val="13"/>
          <w:szCs w:val="13"/>
          <w:color w:val="auto"/>
        </w:rPr>
      </w:pPr>
    </w:p>
    <w:p>
      <w:pPr>
        <w:ind w:left="257" w:right="20" w:hanging="257"/>
        <w:spacing w:after="0" w:line="295" w:lineRule="auto"/>
        <w:tabs>
          <w:tab w:leader="none" w:pos="262" w:val="left"/>
        </w:tabs>
        <w:numPr>
          <w:ilvl w:val="0"/>
          <w:numId w:val="84"/>
        </w:numPr>
        <w:rPr>
          <w:rFonts w:ascii="Arial" w:cs="Arial" w:eastAsia="Arial" w:hAnsi="Arial"/>
          <w:sz w:val="13"/>
          <w:szCs w:val="13"/>
          <w:color w:val="auto"/>
        </w:rPr>
      </w:pPr>
      <w:r>
        <w:rPr>
          <w:rFonts w:ascii="Arial" w:cs="Arial" w:eastAsia="Arial" w:hAnsi="Arial"/>
          <w:sz w:val="16"/>
          <w:szCs w:val="16"/>
          <w:color w:val="auto"/>
        </w:rPr>
        <w:t>The Client shall not disclose to any third party any Advice without the express written consent of Provider, except</w:t>
      </w:r>
    </w:p>
    <w:p>
      <w:pPr>
        <w:spacing w:after="0" w:line="101" w:lineRule="exact"/>
        <w:rPr>
          <w:rFonts w:ascii="Arial" w:cs="Arial" w:eastAsia="Arial" w:hAnsi="Arial"/>
          <w:sz w:val="13"/>
          <w:szCs w:val="13"/>
          <w:color w:val="auto"/>
        </w:rPr>
      </w:pPr>
    </w:p>
    <w:p>
      <w:pPr>
        <w:jc w:val="both"/>
        <w:ind w:left="357" w:right="20" w:hanging="259"/>
        <w:spacing w:after="0" w:line="284" w:lineRule="auto"/>
        <w:tabs>
          <w:tab w:leader="none" w:pos="363" w:val="left"/>
        </w:tabs>
        <w:numPr>
          <w:ilvl w:val="2"/>
          <w:numId w:val="85"/>
        </w:numPr>
        <w:rPr>
          <w:rFonts w:ascii="Arial" w:cs="Arial" w:eastAsia="Arial" w:hAnsi="Arial"/>
          <w:sz w:val="13"/>
          <w:szCs w:val="13"/>
          <w:color w:val="auto"/>
        </w:rPr>
      </w:pPr>
      <w:r>
        <w:rPr>
          <w:rFonts w:ascii="Arial" w:cs="Arial" w:eastAsia="Arial" w:hAnsi="Arial"/>
          <w:sz w:val="16"/>
          <w:szCs w:val="16"/>
          <w:color w:val="auto"/>
        </w:rPr>
        <w:t>disclosure may be made to the extent mandatory laws, applicable regulations, rules and professional obligations prohibit limitations on disclosure, structure associated with the Services or transactions described in the Contract and the Client acknowledges that none of its other advisers has imposed or will impose restrictions or limitations with such tax treatment or tax structure,</w:t>
      </w:r>
    </w:p>
    <w:p>
      <w:pPr>
        <w:spacing w:after="0" w:line="109" w:lineRule="exact"/>
        <w:rPr>
          <w:rFonts w:ascii="Arial" w:cs="Arial" w:eastAsia="Arial" w:hAnsi="Arial"/>
          <w:sz w:val="13"/>
          <w:szCs w:val="13"/>
          <w:color w:val="auto"/>
        </w:rPr>
      </w:pPr>
    </w:p>
    <w:p>
      <w:pPr>
        <w:ind w:left="357" w:right="20" w:hanging="259"/>
        <w:spacing w:after="0" w:line="295" w:lineRule="auto"/>
        <w:tabs>
          <w:tab w:leader="none" w:pos="366" w:val="left"/>
        </w:tabs>
        <w:numPr>
          <w:ilvl w:val="2"/>
          <w:numId w:val="85"/>
        </w:numPr>
        <w:rPr>
          <w:rFonts w:ascii="Arial" w:cs="Arial" w:eastAsia="Arial" w:hAnsi="Arial"/>
          <w:sz w:val="13"/>
          <w:szCs w:val="13"/>
          <w:color w:val="auto"/>
        </w:rPr>
      </w:pPr>
      <w:r>
        <w:rPr>
          <w:rFonts w:ascii="Arial" w:cs="Arial" w:eastAsia="Arial" w:hAnsi="Arial"/>
          <w:sz w:val="16"/>
          <w:szCs w:val="16"/>
          <w:color w:val="auto"/>
        </w:rPr>
        <w:t>to the extent legislation or regulations of any jurisdiction provide for the reporting of such Advice, and</w:t>
      </w:r>
    </w:p>
    <w:p>
      <w:pPr>
        <w:spacing w:after="0" w:line="87" w:lineRule="exact"/>
        <w:rPr>
          <w:rFonts w:ascii="Arial" w:cs="Arial" w:eastAsia="Arial" w:hAnsi="Arial"/>
          <w:sz w:val="13"/>
          <w:szCs w:val="13"/>
          <w:color w:val="auto"/>
        </w:rPr>
      </w:pPr>
    </w:p>
    <w:p>
      <w:pPr>
        <w:ind w:left="377" w:hanging="279"/>
        <w:spacing w:after="0"/>
        <w:tabs>
          <w:tab w:leader="none" w:pos="377" w:val="left"/>
        </w:tabs>
        <w:numPr>
          <w:ilvl w:val="2"/>
          <w:numId w:val="85"/>
        </w:numPr>
        <w:rPr>
          <w:rFonts w:ascii="Arial" w:cs="Arial" w:eastAsia="Arial" w:hAnsi="Arial"/>
          <w:sz w:val="13"/>
          <w:szCs w:val="13"/>
          <w:color w:val="auto"/>
        </w:rPr>
      </w:pPr>
      <w:r>
        <w:rPr>
          <w:rFonts w:ascii="Arial" w:cs="Arial" w:eastAsia="Arial" w:hAnsi="Arial"/>
          <w:sz w:val="16"/>
          <w:szCs w:val="16"/>
          <w:color w:val="auto"/>
        </w:rPr>
        <w:t>to Client’s auditors in their capacity as such.</w:t>
      </w:r>
    </w:p>
    <w:p>
      <w:pPr>
        <w:spacing w:after="0" w:line="140" w:lineRule="exact"/>
        <w:rPr>
          <w:rFonts w:ascii="Arial" w:cs="Arial" w:eastAsia="Arial" w:hAnsi="Arial"/>
          <w:sz w:val="13"/>
          <w:szCs w:val="13"/>
          <w:color w:val="auto"/>
        </w:rPr>
      </w:pPr>
    </w:p>
    <w:p>
      <w:pPr>
        <w:jc w:val="both"/>
        <w:ind w:left="257" w:right="20" w:hanging="257"/>
        <w:spacing w:after="0" w:line="284" w:lineRule="auto"/>
        <w:tabs>
          <w:tab w:leader="none" w:pos="256" w:val="left"/>
        </w:tabs>
        <w:numPr>
          <w:ilvl w:val="0"/>
          <w:numId w:val="86"/>
        </w:numPr>
        <w:rPr>
          <w:rFonts w:ascii="Arial" w:cs="Arial" w:eastAsia="Arial" w:hAnsi="Arial"/>
          <w:sz w:val="13"/>
          <w:szCs w:val="13"/>
          <w:color w:val="auto"/>
        </w:rPr>
      </w:pPr>
      <w:r>
        <w:rPr>
          <w:rFonts w:ascii="Arial" w:cs="Arial" w:eastAsia="Arial" w:hAnsi="Arial"/>
          <w:sz w:val="16"/>
          <w:szCs w:val="16"/>
          <w:color w:val="auto"/>
        </w:rPr>
        <w:t>All Services are intended only for the benefit of the Client identified in the Contract. The mere receipt of any Advice (or any information derived therefrom) by any other persons is not intended to create any duty of care, professional relationship or any present or future liability of any kind between those persons and Provider.</w:t>
      </w:r>
    </w:p>
    <w:p>
      <w:pPr>
        <w:spacing w:after="0" w:line="64" w:lineRule="exact"/>
        <w:rPr>
          <w:rFonts w:ascii="Arial" w:cs="Arial" w:eastAsia="Arial" w:hAnsi="Arial"/>
          <w:sz w:val="13"/>
          <w:szCs w:val="13"/>
          <w:color w:val="auto"/>
        </w:rPr>
      </w:pPr>
    </w:p>
    <w:p>
      <w:pPr>
        <w:ind w:left="277" w:hanging="276"/>
        <w:spacing w:after="0"/>
        <w:tabs>
          <w:tab w:leader="none" w:pos="277" w:val="left"/>
        </w:tabs>
        <w:numPr>
          <w:ilvl w:val="1"/>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Assignment</w:t>
      </w:r>
    </w:p>
    <w:p>
      <w:pPr>
        <w:spacing w:after="0" w:line="106" w:lineRule="exact"/>
        <w:rPr>
          <w:sz w:val="20"/>
          <w:szCs w:val="20"/>
          <w:color w:val="auto"/>
        </w:rPr>
      </w:pPr>
    </w:p>
    <w:p>
      <w:pPr>
        <w:jc w:val="both"/>
        <w:ind w:left="257" w:hanging="257"/>
        <w:spacing w:after="0" w:line="286" w:lineRule="auto"/>
        <w:tabs>
          <w:tab w:leader="none" w:pos="270" w:val="left"/>
        </w:tabs>
        <w:numPr>
          <w:ilvl w:val="0"/>
          <w:numId w:val="87"/>
        </w:numPr>
        <w:rPr>
          <w:rFonts w:ascii="Arial" w:cs="Arial" w:eastAsia="Arial" w:hAnsi="Arial"/>
          <w:sz w:val="13"/>
          <w:szCs w:val="13"/>
          <w:color w:val="auto"/>
        </w:rPr>
      </w:pPr>
      <w:r>
        <w:rPr>
          <w:rFonts w:ascii="Arial" w:cs="Arial" w:eastAsia="Arial" w:hAnsi="Arial"/>
          <w:sz w:val="16"/>
          <w:szCs w:val="16"/>
          <w:color w:val="auto"/>
        </w:rPr>
        <w:t>Neither party may assign or otherwise transfer the Contract. Neither party will directly or indirectly agree to assign or transfer to a third party any Claim against the other party arising out of the Contract.</w:t>
      </w:r>
    </w:p>
    <w:p>
      <w:pPr>
        <w:sectPr>
          <w:pgSz w:w="11900" w:h="16838" w:orient="portrait"/>
          <w:cols w:equalWidth="0" w:num="2">
            <w:col w:w="5783" w:space="720"/>
            <w:col w:w="4617"/>
          </w:cols>
          <w:pgMar w:left="320" w:top="122" w:right="459" w:bottom="1440" w:gutter="0" w:footer="0" w:header="0"/>
        </w:sectPr>
      </w:pPr>
    </w:p>
    <w:bookmarkStart w:id="191" w:name="page192"/>
    <w:bookmarkEnd w:id="191"/>
    <w:p>
      <w:pPr>
        <w:spacing w:after="0"/>
        <w:rPr>
          <w:sz w:val="20"/>
          <w:szCs w:val="20"/>
          <w:color w:val="auto"/>
        </w:rPr>
      </w:pPr>
      <w:r>
        <w:rPr>
          <w:rFonts w:ascii="Arial" w:cs="Arial" w:eastAsia="Arial" w:hAnsi="Arial"/>
          <w:sz w:val="20"/>
          <w:szCs w:val="20"/>
          <w:color w:val="auto"/>
        </w:rPr>
        <w:t>[Type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80" w:hanging="270"/>
        <w:spacing w:after="0"/>
        <w:tabs>
          <w:tab w:leader="none" w:pos="880" w:val="left"/>
        </w:tabs>
        <w:numPr>
          <w:ilvl w:val="1"/>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Electronic Communications</w:t>
      </w:r>
    </w:p>
    <w:p>
      <w:pPr>
        <w:spacing w:after="0" w:line="106" w:lineRule="exact"/>
        <w:rPr>
          <w:rFonts w:ascii="Arial" w:cs="Arial" w:eastAsia="Arial" w:hAnsi="Arial"/>
          <w:sz w:val="16"/>
          <w:szCs w:val="16"/>
          <w:b w:val="1"/>
          <w:bCs w:val="1"/>
          <w:color w:val="auto"/>
        </w:rPr>
      </w:pPr>
    </w:p>
    <w:p>
      <w:pPr>
        <w:jc w:val="both"/>
        <w:ind w:left="860" w:right="543" w:hanging="251"/>
        <w:spacing w:after="0" w:line="284" w:lineRule="auto"/>
        <w:tabs>
          <w:tab w:leader="none" w:pos="873" w:val="left"/>
        </w:tabs>
        <w:numPr>
          <w:ilvl w:val="0"/>
          <w:numId w:val="89"/>
        </w:numPr>
        <w:rPr>
          <w:rFonts w:ascii="Arial" w:cs="Arial" w:eastAsia="Arial" w:hAnsi="Arial"/>
          <w:sz w:val="13"/>
          <w:szCs w:val="13"/>
          <w:color w:val="auto"/>
        </w:rPr>
      </w:pPr>
      <w:r>
        <w:rPr>
          <w:rFonts w:ascii="Arial" w:cs="Arial" w:eastAsia="Arial" w:hAnsi="Arial"/>
          <w:sz w:val="16"/>
          <w:szCs w:val="16"/>
          <w:color w:val="auto"/>
        </w:rPr>
        <w:t>Except as instructed otherwise in writing, Provider and the Client are authorized to use properly addressed, email (including emails exchanged via internet media) and voicemail communication for both sensitive and non-sensitive documents and other communications concerning the Contract, as well as other means of communication used or accepted by the other.</w:t>
      </w:r>
    </w:p>
    <w:p>
      <w:pPr>
        <w:spacing w:after="0" w:line="68" w:lineRule="exact"/>
        <w:rPr>
          <w:rFonts w:ascii="Arial" w:cs="Arial" w:eastAsia="Arial" w:hAnsi="Arial"/>
          <w:sz w:val="13"/>
          <w:szCs w:val="13"/>
          <w:color w:val="auto"/>
        </w:rPr>
      </w:pPr>
    </w:p>
    <w:p>
      <w:pPr>
        <w:jc w:val="both"/>
        <w:ind w:left="860" w:right="543" w:hanging="251"/>
        <w:spacing w:after="0" w:line="282" w:lineRule="auto"/>
        <w:tabs>
          <w:tab w:leader="none" w:pos="859" w:val="left"/>
        </w:tabs>
        <w:numPr>
          <w:ilvl w:val="0"/>
          <w:numId w:val="89"/>
        </w:numPr>
        <w:rPr>
          <w:rFonts w:ascii="Arial" w:cs="Arial" w:eastAsia="Arial" w:hAnsi="Arial"/>
          <w:sz w:val="13"/>
          <w:szCs w:val="13"/>
          <w:color w:val="auto"/>
        </w:rPr>
      </w:pPr>
      <w:r>
        <w:rPr>
          <w:rFonts w:ascii="Arial" w:cs="Arial" w:eastAsia="Arial" w:hAnsi="Arial"/>
          <w:sz w:val="16"/>
          <w:szCs w:val="16"/>
          <w:color w:val="auto"/>
        </w:rPr>
        <w:t>It is recognized that the internet is inherently insecure and that data can become corrupted, communications are not always delivered promptly (or at all) and that other methods of communication may be appropriate. Electronic communications are also prone to contamination by viruses. Each party will be responsible for protecting its own systems and interests and, to the fullest extent permitted by law, will not be responsible to the other on any basis (contract, tort, including without limitation negligence, or otherwise) for any loss, damage or omission in any way arising from the use of the internet or from access by Provider to networks, applications, electronic data or other systems of the Client Group.</w:t>
      </w:r>
    </w:p>
    <w:p>
      <w:pPr>
        <w:spacing w:after="0" w:line="72" w:lineRule="exact"/>
        <w:rPr>
          <w:rFonts w:ascii="Arial" w:cs="Arial" w:eastAsia="Arial" w:hAnsi="Arial"/>
          <w:sz w:val="13"/>
          <w:szCs w:val="13"/>
          <w:color w:val="auto"/>
        </w:rPr>
      </w:pPr>
    </w:p>
    <w:p>
      <w:pPr>
        <w:ind w:left="880" w:hanging="270"/>
        <w:spacing w:after="0"/>
        <w:tabs>
          <w:tab w:leader="none" w:pos="880" w:val="left"/>
        </w:tabs>
        <w:numPr>
          <w:ilvl w:val="1"/>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Other Clients</w:t>
      </w:r>
    </w:p>
    <w:p>
      <w:pPr>
        <w:spacing w:after="0" w:line="106" w:lineRule="exact"/>
        <w:rPr>
          <w:sz w:val="20"/>
          <w:szCs w:val="20"/>
          <w:color w:val="auto"/>
        </w:rPr>
      </w:pPr>
    </w:p>
    <w:p>
      <w:pPr>
        <w:jc w:val="both"/>
        <w:ind w:left="860" w:right="543" w:hanging="251"/>
        <w:spacing w:after="0" w:line="283" w:lineRule="auto"/>
        <w:tabs>
          <w:tab w:leader="none" w:pos="873" w:val="left"/>
        </w:tabs>
        <w:numPr>
          <w:ilvl w:val="0"/>
          <w:numId w:val="90"/>
        </w:numPr>
        <w:rPr>
          <w:rFonts w:ascii="Arial" w:cs="Arial" w:eastAsia="Arial" w:hAnsi="Arial"/>
          <w:sz w:val="13"/>
          <w:szCs w:val="13"/>
          <w:color w:val="auto"/>
        </w:rPr>
      </w:pPr>
      <w:r>
        <w:rPr>
          <w:rFonts w:ascii="Arial" w:cs="Arial" w:eastAsia="Arial" w:hAnsi="Arial"/>
          <w:sz w:val="16"/>
          <w:szCs w:val="16"/>
          <w:color w:val="auto"/>
        </w:rPr>
        <w:t>Nothing in the Contract will prevent or restrict Provider, from providing services to other clients (including services which are the same or similar to the Services) or using or sharing for any purpose any knowledge, experience or skills used in, gained or arising from performing the Services subject to the obligations of confidentiality set out in Paragraph 10 unless those other clients’ interests are in competition with the Client. Also, to the extent that Provider possesses information obtained under an obligation of confidentiality to another client or other third party, Provider is not obliged to disclose it to any member of the Client, or use it for the benefit of the Client, however relevant it may be to the Services.</w:t>
      </w:r>
    </w:p>
    <w:p>
      <w:pPr>
        <w:spacing w:after="0" w:line="279" w:lineRule="exact"/>
        <w:rPr>
          <w:rFonts w:ascii="Arial" w:cs="Arial" w:eastAsia="Arial" w:hAnsi="Arial"/>
          <w:sz w:val="13"/>
          <w:szCs w:val="13"/>
          <w:color w:val="auto"/>
        </w:rPr>
      </w:pPr>
    </w:p>
    <w:p>
      <w:pPr>
        <w:ind w:left="880" w:hanging="270"/>
        <w:spacing w:after="0"/>
        <w:tabs>
          <w:tab w:leader="none" w:pos="880" w:val="left"/>
        </w:tabs>
        <w:numPr>
          <w:ilvl w:val="1"/>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Staff</w:t>
      </w:r>
    </w:p>
    <w:p>
      <w:pPr>
        <w:spacing w:after="0" w:line="106" w:lineRule="exact"/>
        <w:rPr>
          <w:sz w:val="20"/>
          <w:szCs w:val="20"/>
          <w:color w:val="auto"/>
        </w:rPr>
      </w:pPr>
    </w:p>
    <w:p>
      <w:pPr>
        <w:jc w:val="both"/>
        <w:ind w:left="860" w:right="543" w:hanging="251"/>
        <w:spacing w:after="0" w:line="285" w:lineRule="auto"/>
        <w:tabs>
          <w:tab w:leader="none" w:pos="873" w:val="left"/>
        </w:tabs>
        <w:numPr>
          <w:ilvl w:val="0"/>
          <w:numId w:val="91"/>
        </w:numPr>
        <w:rPr>
          <w:rFonts w:ascii="Arial" w:cs="Arial" w:eastAsia="Arial" w:hAnsi="Arial"/>
          <w:sz w:val="13"/>
          <w:szCs w:val="13"/>
          <w:color w:val="auto"/>
        </w:rPr>
      </w:pPr>
      <w:r>
        <w:rPr>
          <w:rFonts w:ascii="Arial" w:cs="Arial" w:eastAsia="Arial" w:hAnsi="Arial"/>
          <w:sz w:val="16"/>
          <w:szCs w:val="16"/>
          <w:color w:val="auto"/>
        </w:rPr>
        <w:t>Provider and the Client each agree not, directly or indirectly, to solicit, employ or engage any personnel of the other party who within one year of such action has been involved directly with the provision of the Services or otherwise directly connected with the Contract, except where an individual responds directly to a general recruitment campaign.</w:t>
      </w:r>
    </w:p>
    <w:p>
      <w:pPr>
        <w:spacing w:after="0" w:line="262" w:lineRule="exact"/>
        <w:rPr>
          <w:rFonts w:ascii="Arial" w:cs="Arial" w:eastAsia="Arial" w:hAnsi="Arial"/>
          <w:sz w:val="13"/>
          <w:szCs w:val="13"/>
          <w:color w:val="auto"/>
        </w:rPr>
      </w:pPr>
    </w:p>
    <w:p>
      <w:pPr>
        <w:ind w:left="880" w:hanging="270"/>
        <w:spacing w:after="0"/>
        <w:tabs>
          <w:tab w:leader="none" w:pos="880" w:val="left"/>
        </w:tabs>
        <w:numPr>
          <w:ilvl w:val="1"/>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Destruction of Working Papers</w:t>
      </w:r>
    </w:p>
    <w:p>
      <w:pPr>
        <w:spacing w:after="0" w:line="106" w:lineRule="exact"/>
        <w:rPr>
          <w:sz w:val="20"/>
          <w:szCs w:val="20"/>
          <w:color w:val="auto"/>
        </w:rPr>
      </w:pPr>
    </w:p>
    <w:p>
      <w:pPr>
        <w:jc w:val="both"/>
        <w:ind w:left="860" w:right="543" w:hanging="251"/>
        <w:spacing w:after="0" w:line="285" w:lineRule="auto"/>
        <w:tabs>
          <w:tab w:leader="none" w:pos="873" w:val="left"/>
        </w:tabs>
        <w:numPr>
          <w:ilvl w:val="0"/>
          <w:numId w:val="92"/>
        </w:numPr>
        <w:rPr>
          <w:rFonts w:ascii="Arial" w:cs="Arial" w:eastAsia="Arial" w:hAnsi="Arial"/>
          <w:sz w:val="13"/>
          <w:szCs w:val="13"/>
          <w:color w:val="auto"/>
        </w:rPr>
      </w:pPr>
      <w:r>
        <w:rPr>
          <w:rFonts w:ascii="Arial" w:cs="Arial" w:eastAsia="Arial" w:hAnsi="Arial"/>
          <w:sz w:val="16"/>
          <w:szCs w:val="16"/>
          <w:color w:val="auto"/>
        </w:rPr>
        <w:t>Provider may retain copies of documents and files provided by the Client in connection with the Services for the purposes of compliance with professional standards and internal retention policies. However, use of such information retained for these purposes is, in all cases, subject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57"/>
        <w:spacing w:after="0"/>
        <w:rPr>
          <w:sz w:val="20"/>
          <w:szCs w:val="20"/>
          <w:color w:val="auto"/>
        </w:rPr>
      </w:pPr>
      <w:r>
        <w:rPr>
          <w:rFonts w:ascii="Arial" w:cs="Arial" w:eastAsia="Arial" w:hAnsi="Arial"/>
          <w:sz w:val="16"/>
          <w:szCs w:val="16"/>
          <w:color w:val="auto"/>
        </w:rPr>
        <w:t>obligations of confidentiality set out in Paragraph 10.</w:t>
      </w:r>
    </w:p>
    <w:p>
      <w:pPr>
        <w:spacing w:after="0" w:line="93" w:lineRule="exact"/>
        <w:rPr>
          <w:sz w:val="20"/>
          <w:szCs w:val="20"/>
          <w:color w:val="auto"/>
        </w:rPr>
      </w:pPr>
    </w:p>
    <w:p>
      <w:pPr>
        <w:ind w:left="277" w:hanging="276"/>
        <w:spacing w:after="0"/>
        <w:tabs>
          <w:tab w:leader="none" w:pos="277" w:val="left"/>
        </w:tabs>
        <w:numPr>
          <w:ilvl w:val="1"/>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Marketing Material &amp; Use of Name</w:t>
      </w:r>
    </w:p>
    <w:p>
      <w:pPr>
        <w:spacing w:after="0" w:line="106" w:lineRule="exact"/>
        <w:rPr>
          <w:rFonts w:ascii="Arial" w:cs="Arial" w:eastAsia="Arial" w:hAnsi="Arial"/>
          <w:sz w:val="16"/>
          <w:szCs w:val="16"/>
          <w:b w:val="1"/>
          <w:bCs w:val="1"/>
          <w:color w:val="auto"/>
        </w:rPr>
      </w:pPr>
    </w:p>
    <w:p>
      <w:pPr>
        <w:jc w:val="both"/>
        <w:ind w:left="257" w:hanging="257"/>
        <w:spacing w:after="0" w:line="283" w:lineRule="auto"/>
        <w:tabs>
          <w:tab w:leader="none" w:pos="270" w:val="left"/>
        </w:tabs>
        <w:numPr>
          <w:ilvl w:val="0"/>
          <w:numId w:val="94"/>
        </w:numPr>
        <w:rPr>
          <w:rFonts w:ascii="Arial" w:cs="Arial" w:eastAsia="Arial" w:hAnsi="Arial"/>
          <w:sz w:val="13"/>
          <w:szCs w:val="13"/>
          <w:color w:val="auto"/>
        </w:rPr>
      </w:pPr>
      <w:r>
        <w:rPr>
          <w:rFonts w:ascii="Arial" w:cs="Arial" w:eastAsia="Arial" w:hAnsi="Arial"/>
          <w:sz w:val="16"/>
          <w:szCs w:val="16"/>
          <w:color w:val="auto"/>
        </w:rPr>
        <w:t>Neither the Provider nor the Client shall use the other’s trademarks, service marks and/or branding in external publicity material without such other party’s prior written consent. However, as a credential of its professional experience and for commercial purposes, the Provider may use the Client’s trademarks and may refer to the names of the Client in presentation materials solely as a reference to Client being a recipient of Services.</w:t>
      </w:r>
    </w:p>
    <w:p>
      <w:pPr>
        <w:spacing w:after="0" w:line="66" w:lineRule="exact"/>
        <w:rPr>
          <w:rFonts w:ascii="Arial" w:cs="Arial" w:eastAsia="Arial" w:hAnsi="Arial"/>
          <w:sz w:val="13"/>
          <w:szCs w:val="13"/>
          <w:color w:val="auto"/>
        </w:rPr>
      </w:pPr>
    </w:p>
    <w:p>
      <w:pPr>
        <w:ind w:left="277" w:hanging="276"/>
        <w:spacing w:after="0"/>
        <w:tabs>
          <w:tab w:leader="none" w:pos="277" w:val="left"/>
        </w:tabs>
        <w:numPr>
          <w:ilvl w:val="1"/>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Anti-corruption</w:t>
      </w:r>
    </w:p>
    <w:p>
      <w:pPr>
        <w:spacing w:after="0" w:line="106" w:lineRule="exact"/>
        <w:rPr>
          <w:sz w:val="20"/>
          <w:szCs w:val="20"/>
          <w:color w:val="auto"/>
        </w:rPr>
      </w:pPr>
    </w:p>
    <w:p>
      <w:pPr>
        <w:jc w:val="both"/>
        <w:ind w:left="257" w:hanging="257"/>
        <w:spacing w:after="0" w:line="283" w:lineRule="auto"/>
        <w:tabs>
          <w:tab w:leader="none" w:pos="270" w:val="left"/>
        </w:tabs>
        <w:numPr>
          <w:ilvl w:val="0"/>
          <w:numId w:val="95"/>
        </w:numPr>
        <w:rPr>
          <w:rFonts w:ascii="Arial" w:cs="Arial" w:eastAsia="Arial" w:hAnsi="Arial"/>
          <w:sz w:val="13"/>
          <w:szCs w:val="13"/>
          <w:color w:val="auto"/>
        </w:rPr>
      </w:pPr>
      <w:r>
        <w:rPr>
          <w:rFonts w:ascii="Arial" w:cs="Arial" w:eastAsia="Arial" w:hAnsi="Arial"/>
          <w:sz w:val="16"/>
          <w:szCs w:val="16"/>
          <w:color w:val="auto"/>
        </w:rPr>
        <w:t>Provider understands that the Client may be subject to laws that prohibit bribery and/or providing anything of value to government officials with the intent to influence that person’s actions in respect of the Client. Provider may be subject to similar laws and codes of professional conduct and has its own internal policies and procedures which prohibit illegal or unethical behaviors. In providing the Services, Provider undertakes not to offer, promise or give financial or other advantage to another person with the intention of inducing a person to perform improperly or to reward improper behavior for the benefit of the Client, in each case, in violation of applicable law.</w:t>
      </w:r>
    </w:p>
    <w:p>
      <w:pPr>
        <w:spacing w:after="0" w:line="69" w:lineRule="exact"/>
        <w:rPr>
          <w:rFonts w:ascii="Arial" w:cs="Arial" w:eastAsia="Arial" w:hAnsi="Arial"/>
          <w:sz w:val="13"/>
          <w:szCs w:val="13"/>
          <w:color w:val="auto"/>
        </w:rPr>
      </w:pPr>
    </w:p>
    <w:p>
      <w:pPr>
        <w:jc w:val="both"/>
        <w:ind w:left="257" w:hanging="257"/>
        <w:spacing w:after="0" w:line="284" w:lineRule="auto"/>
        <w:tabs>
          <w:tab w:leader="none" w:pos="256" w:val="left"/>
        </w:tabs>
        <w:numPr>
          <w:ilvl w:val="0"/>
          <w:numId w:val="95"/>
        </w:numPr>
        <w:rPr>
          <w:rFonts w:ascii="Arial" w:cs="Arial" w:eastAsia="Arial" w:hAnsi="Arial"/>
          <w:sz w:val="13"/>
          <w:szCs w:val="13"/>
          <w:color w:val="auto"/>
        </w:rPr>
      </w:pPr>
      <w:r>
        <w:rPr>
          <w:rFonts w:ascii="Arial" w:cs="Arial" w:eastAsia="Arial" w:hAnsi="Arial"/>
          <w:sz w:val="16"/>
          <w:szCs w:val="16"/>
          <w:color w:val="auto"/>
        </w:rPr>
        <w:t>Likewise, Client and Provider commit to comply with all applicable laws and regulations, including anticorruption and anti-bribery rules, and to act with ethical and professional behavior, avoiding any practice that could be a violation of the anticorruption and anti-bribery laws or regulations in any country where this Agreement will be performed.</w:t>
      </w:r>
    </w:p>
    <w:p>
      <w:pPr>
        <w:spacing w:after="0" w:line="70" w:lineRule="exact"/>
        <w:rPr>
          <w:rFonts w:ascii="Arial" w:cs="Arial" w:eastAsia="Arial" w:hAnsi="Arial"/>
          <w:sz w:val="13"/>
          <w:szCs w:val="13"/>
          <w:color w:val="auto"/>
        </w:rPr>
      </w:pPr>
    </w:p>
    <w:p>
      <w:pPr>
        <w:ind w:left="257" w:hanging="257"/>
        <w:spacing w:after="0" w:line="295" w:lineRule="auto"/>
        <w:tabs>
          <w:tab w:leader="none" w:pos="262" w:val="left"/>
        </w:tabs>
        <w:numPr>
          <w:ilvl w:val="0"/>
          <w:numId w:val="95"/>
        </w:numPr>
        <w:rPr>
          <w:rFonts w:ascii="Arial" w:cs="Arial" w:eastAsia="Arial" w:hAnsi="Arial"/>
          <w:sz w:val="13"/>
          <w:szCs w:val="13"/>
          <w:color w:val="auto"/>
        </w:rPr>
      </w:pPr>
      <w:r>
        <w:rPr>
          <w:rFonts w:ascii="Arial" w:cs="Arial" w:eastAsia="Arial" w:hAnsi="Arial"/>
          <w:sz w:val="16"/>
          <w:szCs w:val="16"/>
          <w:color w:val="auto"/>
        </w:rPr>
        <w:t>Annexes A and B to this Contract are incorporated by reference into this Contract as if set forth fully herein.</w:t>
      </w:r>
    </w:p>
    <w:p>
      <w:pPr>
        <w:spacing w:after="0" w:line="54" w:lineRule="exact"/>
        <w:rPr>
          <w:rFonts w:ascii="Arial" w:cs="Arial" w:eastAsia="Arial" w:hAnsi="Arial"/>
          <w:sz w:val="13"/>
          <w:szCs w:val="13"/>
          <w:color w:val="auto"/>
        </w:rPr>
      </w:pPr>
    </w:p>
    <w:p>
      <w:pPr>
        <w:ind w:left="277" w:hanging="276"/>
        <w:spacing w:after="0"/>
        <w:tabs>
          <w:tab w:leader="none" w:pos="277" w:val="left"/>
        </w:tabs>
        <w:numPr>
          <w:ilvl w:val="1"/>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 Modification and Effectiveness</w:t>
      </w:r>
    </w:p>
    <w:p>
      <w:pPr>
        <w:spacing w:after="0" w:line="106" w:lineRule="exact"/>
        <w:rPr>
          <w:sz w:val="20"/>
          <w:szCs w:val="20"/>
          <w:color w:val="auto"/>
        </w:rPr>
      </w:pPr>
    </w:p>
    <w:p>
      <w:pPr>
        <w:jc w:val="both"/>
        <w:ind w:left="257" w:hanging="257"/>
        <w:spacing w:after="0" w:line="283" w:lineRule="auto"/>
        <w:tabs>
          <w:tab w:leader="none" w:pos="270" w:val="left"/>
        </w:tabs>
        <w:numPr>
          <w:ilvl w:val="0"/>
          <w:numId w:val="96"/>
        </w:numPr>
        <w:rPr>
          <w:rFonts w:ascii="Arial" w:cs="Arial" w:eastAsia="Arial" w:hAnsi="Arial"/>
          <w:sz w:val="13"/>
          <w:szCs w:val="13"/>
          <w:color w:val="auto"/>
        </w:rPr>
      </w:pPr>
      <w:r>
        <w:rPr>
          <w:rFonts w:ascii="Arial" w:cs="Arial" w:eastAsia="Arial" w:hAnsi="Arial"/>
          <w:sz w:val="16"/>
          <w:szCs w:val="16"/>
          <w:color w:val="auto"/>
        </w:rPr>
        <w:t>Nothing discussed prior to execution of the Contract induced, nor forms part of, the Contract except to the extent repeated in the Contract. The Contract supersedes any previous agreement, understanding or communication, written or oral, relating to its subject matter. No variation to the Contract shall be effective unless it is documented in writing and signed by authorized representatives of both parties, provided, however, that the scope of the Services may be changed by agreement of the parties in writing, including by e-mail. If Provider has already started work (e.g., by gathering information, project planning or giving initial advice) at the request of the Client then the Client agrees that the Contract is effective from the start of such work.</w:t>
      </w:r>
    </w:p>
    <w:p>
      <w:pPr>
        <w:spacing w:after="0" w:line="278" w:lineRule="exact"/>
        <w:rPr>
          <w:rFonts w:ascii="Arial" w:cs="Arial" w:eastAsia="Arial" w:hAnsi="Arial"/>
          <w:sz w:val="13"/>
          <w:szCs w:val="13"/>
          <w:color w:val="auto"/>
        </w:rPr>
      </w:pPr>
    </w:p>
    <w:p>
      <w:pPr>
        <w:ind w:left="277" w:hanging="276"/>
        <w:spacing w:after="0"/>
        <w:tabs>
          <w:tab w:leader="none" w:pos="277" w:val="left"/>
        </w:tabs>
        <w:numPr>
          <w:ilvl w:val="1"/>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Survival and Interpretation</w:t>
      </w:r>
    </w:p>
    <w:p>
      <w:pPr>
        <w:sectPr>
          <w:pgSz w:w="11900" w:h="16838" w:orient="portrait"/>
          <w:cols w:equalWidth="0" w:num="2">
            <w:col w:w="5783" w:space="720"/>
            <w:col w:w="4617"/>
          </w:cols>
          <w:pgMar w:left="320" w:top="122" w:right="45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color w:val="auto"/>
        </w:rPr>
        <w:t>[Type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860" w:right="4899" w:hanging="251"/>
        <w:spacing w:after="0" w:line="288" w:lineRule="auto"/>
        <w:tabs>
          <w:tab w:leader="none" w:pos="873" w:val="left"/>
        </w:tabs>
        <w:numPr>
          <w:ilvl w:val="0"/>
          <w:numId w:val="97"/>
        </w:numPr>
        <w:rPr>
          <w:rFonts w:ascii="Arial" w:cs="Arial" w:eastAsia="Arial" w:hAnsi="Arial"/>
          <w:sz w:val="13"/>
          <w:szCs w:val="13"/>
          <w:color w:val="auto"/>
        </w:rPr>
      </w:pPr>
      <w:r>
        <w:rPr>
          <w:rFonts w:ascii="Arial" w:cs="Arial" w:eastAsia="Arial" w:hAnsi="Arial"/>
          <w:sz w:val="16"/>
          <w:szCs w:val="16"/>
          <w:color w:val="auto"/>
        </w:rPr>
        <w:t>Any provisions of the Contract which either expressly or by their nature extend beyond the expiration or termination of the Contract shall survive such expiration or termination.</w:t>
      </w:r>
    </w:p>
    <w:p>
      <w:pPr>
        <w:spacing w:after="0" w:line="66" w:lineRule="exact"/>
        <w:rPr>
          <w:rFonts w:ascii="Arial" w:cs="Arial" w:eastAsia="Arial" w:hAnsi="Arial"/>
          <w:sz w:val="13"/>
          <w:szCs w:val="13"/>
          <w:color w:val="auto"/>
        </w:rPr>
      </w:pPr>
    </w:p>
    <w:p>
      <w:pPr>
        <w:jc w:val="both"/>
        <w:ind w:left="860" w:right="4899" w:hanging="251"/>
        <w:spacing w:after="0" w:line="282" w:lineRule="auto"/>
        <w:tabs>
          <w:tab w:leader="none" w:pos="859" w:val="left"/>
        </w:tabs>
        <w:numPr>
          <w:ilvl w:val="0"/>
          <w:numId w:val="97"/>
        </w:numPr>
        <w:rPr>
          <w:rFonts w:ascii="Arial" w:cs="Arial" w:eastAsia="Arial" w:hAnsi="Arial"/>
          <w:sz w:val="13"/>
          <w:szCs w:val="13"/>
          <w:color w:val="auto"/>
        </w:rPr>
      </w:pPr>
      <w:r>
        <w:rPr>
          <w:rFonts w:ascii="Arial" w:cs="Arial" w:eastAsia="Arial" w:hAnsi="Arial"/>
          <w:sz w:val="16"/>
          <w:szCs w:val="16"/>
          <w:color w:val="auto"/>
        </w:rPr>
        <w:t>If any provision of the Contract is found by a court of competent jurisdiction or other competent authorities to be unenforceable, in whole or in part, such provision or the affected part shall not affect the other provisions but such unenforceable provision shall be deemed modified to the extent necessary to render it enforceable, preserving to the fullest extent permissible the intent of the parties set forth herein. Each of the provisions of the Contract shall apply to the fullest extent of the law, whether in contract, statute, tort (including without limitation negligence), or otherwise, notwithstanding the failure of the essential purpose of any remedy. Any references herein to the term “including” shall be deemed to be followed by “without limitation”.</w:t>
      </w:r>
    </w:p>
    <w:p>
      <w:pPr>
        <w:spacing w:after="0" w:line="58" w:lineRule="exact"/>
        <w:rPr>
          <w:rFonts w:ascii="Arial" w:cs="Arial" w:eastAsia="Arial" w:hAnsi="Arial"/>
          <w:sz w:val="13"/>
          <w:szCs w:val="13"/>
          <w:color w:val="auto"/>
        </w:rPr>
      </w:pPr>
    </w:p>
    <w:p>
      <w:pPr>
        <w:ind w:left="880" w:hanging="270"/>
        <w:spacing w:after="0"/>
        <w:tabs>
          <w:tab w:leader="none" w:pos="880" w:val="left"/>
        </w:tabs>
        <w:numPr>
          <w:ilvl w:val="1"/>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and Submission to Jurisdiction</w:t>
      </w:r>
    </w:p>
    <w:p>
      <w:pPr>
        <w:spacing w:after="0" w:line="120" w:lineRule="exact"/>
        <w:rPr>
          <w:sz w:val="20"/>
          <w:szCs w:val="20"/>
          <w:color w:val="auto"/>
        </w:rPr>
      </w:pPr>
    </w:p>
    <w:p>
      <w:pPr>
        <w:jc w:val="both"/>
        <w:ind w:left="860" w:right="4899" w:hanging="251"/>
        <w:spacing w:after="0" w:line="282" w:lineRule="auto"/>
        <w:tabs>
          <w:tab w:leader="none" w:pos="873" w:val="left"/>
        </w:tabs>
        <w:numPr>
          <w:ilvl w:val="0"/>
          <w:numId w:val="98"/>
        </w:numPr>
        <w:rPr>
          <w:rFonts w:ascii="Arial" w:cs="Arial" w:eastAsia="Arial" w:hAnsi="Arial"/>
          <w:sz w:val="13"/>
          <w:szCs w:val="13"/>
          <w:color w:val="auto"/>
        </w:rPr>
      </w:pPr>
      <w:r>
        <w:rPr>
          <w:rFonts w:ascii="Arial" w:cs="Arial" w:eastAsia="Arial" w:hAnsi="Arial"/>
          <w:sz w:val="16"/>
          <w:szCs w:val="16"/>
          <w:color w:val="auto"/>
        </w:rPr>
        <w:t>This Contract, and all matters relating to it, (including non-contractual obligations) shall be governed by, and construed in accordance with, the laws of the State of Nevada. Any action or proceeding arising out of or relating to this Contract or the Services shall be brought and maintained exclusively in the State of Nevada. The parties hereby expressly and irrevocably (i) submit to the exclusive jurisdiction of such courts for the purposes of any such action or proceeding and (ii) waive, to the fullest extent permitted by law, any defense of inconvenient forum to the venue and maintenance of such action in any such courts. Nothing in this Paragraph will prevent either party, at any time before or after the dispute resolution procedures are invoked, from commencing legal proceedings to protect any intellectual property rights, trade secrets or confidential information or to preserve any legal right or remedy.</w:t>
      </w:r>
    </w:p>
    <w:p>
      <w:pPr>
        <w:spacing w:after="0" w:line="58" w:lineRule="exact"/>
        <w:rPr>
          <w:rFonts w:ascii="Arial" w:cs="Arial" w:eastAsia="Arial" w:hAnsi="Arial"/>
          <w:sz w:val="13"/>
          <w:szCs w:val="13"/>
          <w:color w:val="auto"/>
        </w:rPr>
      </w:pPr>
    </w:p>
    <w:p>
      <w:pPr>
        <w:ind w:left="880" w:hanging="270"/>
        <w:spacing w:after="0"/>
        <w:tabs>
          <w:tab w:leader="none" w:pos="880" w:val="left"/>
        </w:tabs>
        <w:numPr>
          <w:ilvl w:val="1"/>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Dispute Resolution</w:t>
      </w:r>
    </w:p>
    <w:p>
      <w:pPr>
        <w:spacing w:after="0" w:line="106" w:lineRule="exact"/>
        <w:rPr>
          <w:sz w:val="20"/>
          <w:szCs w:val="20"/>
          <w:color w:val="auto"/>
        </w:rPr>
      </w:pPr>
    </w:p>
    <w:p>
      <w:pPr>
        <w:jc w:val="both"/>
        <w:ind w:left="860" w:right="4899" w:hanging="251"/>
        <w:spacing w:after="0" w:line="284" w:lineRule="auto"/>
        <w:tabs>
          <w:tab w:leader="none" w:pos="873" w:val="left"/>
        </w:tabs>
        <w:numPr>
          <w:ilvl w:val="0"/>
          <w:numId w:val="99"/>
        </w:numPr>
        <w:rPr>
          <w:rFonts w:ascii="Arial" w:cs="Arial" w:eastAsia="Arial" w:hAnsi="Arial"/>
          <w:sz w:val="13"/>
          <w:szCs w:val="13"/>
          <w:color w:val="auto"/>
        </w:rPr>
      </w:pPr>
      <w:r>
        <w:rPr>
          <w:rFonts w:ascii="Arial" w:cs="Arial" w:eastAsia="Arial" w:hAnsi="Arial"/>
          <w:sz w:val="16"/>
          <w:szCs w:val="16"/>
          <w:color w:val="auto"/>
        </w:rPr>
        <w:t>The parties agree to attempt in good faith to resolve any dispute or claim arising out of or in connection with the Contract promptly through negotiations between senior management. Nothing in this Paragraph prevents either party, at any time before or after the dispute resolution procedures are invoked, from commencing legal proceedings to protect any intellectual property rights, trade secrets or confidential information or to preserve any legal right or remedy.</w:t>
      </w:r>
    </w:p>
    <w:p>
      <w:pPr>
        <w:spacing w:after="0" w:line="276" w:lineRule="exact"/>
        <w:rPr>
          <w:rFonts w:ascii="Arial" w:cs="Arial" w:eastAsia="Arial" w:hAnsi="Arial"/>
          <w:sz w:val="13"/>
          <w:szCs w:val="13"/>
          <w:color w:val="auto"/>
        </w:rPr>
      </w:pPr>
    </w:p>
    <w:p>
      <w:pPr>
        <w:ind w:left="880" w:hanging="270"/>
        <w:spacing w:after="0"/>
        <w:tabs>
          <w:tab w:leader="none" w:pos="880" w:val="left"/>
        </w:tabs>
        <w:numPr>
          <w:ilvl w:val="1"/>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Disclosure Laws</w:t>
      </w:r>
    </w:p>
    <w:p>
      <w:pPr>
        <w:spacing w:after="0" w:line="106" w:lineRule="exact"/>
        <w:rPr>
          <w:sz w:val="20"/>
          <w:szCs w:val="20"/>
          <w:color w:val="auto"/>
        </w:rPr>
      </w:pPr>
    </w:p>
    <w:p>
      <w:pPr>
        <w:jc w:val="both"/>
        <w:ind w:left="860" w:right="4899" w:hanging="251"/>
        <w:spacing w:after="0" w:line="286" w:lineRule="auto"/>
        <w:tabs>
          <w:tab w:leader="none" w:pos="873" w:val="left"/>
        </w:tabs>
        <w:numPr>
          <w:ilvl w:val="0"/>
          <w:numId w:val="100"/>
        </w:numPr>
        <w:rPr>
          <w:rFonts w:ascii="Arial" w:cs="Arial" w:eastAsia="Arial" w:hAnsi="Arial"/>
          <w:sz w:val="13"/>
          <w:szCs w:val="13"/>
          <w:color w:val="auto"/>
        </w:rPr>
      </w:pPr>
      <w:r>
        <w:rPr>
          <w:rFonts w:ascii="Arial" w:cs="Arial" w:eastAsia="Arial" w:hAnsi="Arial"/>
          <w:sz w:val="16"/>
          <w:szCs w:val="16"/>
          <w:color w:val="auto"/>
        </w:rPr>
        <w:t>Where there are current or future laws or regulations in any jurisdiction that require disclosure relevant to the Services, the Provider will also comply with those disclosure requirements, to the extent that it is legally obliged to do so.</w:t>
      </w:r>
    </w:p>
    <w:p>
      <w:pPr>
        <w:sectPr>
          <w:pgSz w:w="11900" w:h="16838" w:orient="portrait"/>
          <w:cols w:equalWidth="0" w:num="1">
            <w:col w:w="10139"/>
          </w:cols>
          <w:pgMar w:left="320" w:top="122" w:right="1440"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b w:val="1"/>
          <w:bCs w:val="1"/>
          <w:color w:val="auto"/>
        </w:rPr>
        <w:t>Exhibit 10.57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 AND GENERAL RELEASE</w:t>
      </w:r>
    </w:p>
    <w:p>
      <w:pPr>
        <w:spacing w:after="0" w:line="212" w:lineRule="exact"/>
        <w:rPr>
          <w:sz w:val="20"/>
          <w:szCs w:val="20"/>
          <w:color w:val="auto"/>
        </w:rPr>
      </w:pPr>
    </w:p>
    <w:p>
      <w:pPr>
        <w:ind w:firstLine="248"/>
        <w:spacing w:after="0" w:line="247" w:lineRule="auto"/>
        <w:rPr>
          <w:sz w:val="20"/>
          <w:szCs w:val="20"/>
          <w:color w:val="auto"/>
        </w:rPr>
      </w:pPr>
      <w:r>
        <w:rPr>
          <w:rFonts w:ascii="Arial" w:cs="Arial" w:eastAsia="Arial" w:hAnsi="Arial"/>
          <w:sz w:val="21"/>
          <w:szCs w:val="21"/>
          <w:color w:val="auto"/>
        </w:rPr>
        <w:t>In consideration of the promises contained herein, Scientific Games Corporation, 6601 Bermuda Road, Las Vegas, NV 89119 (the “</w:t>
      </w:r>
      <w:r>
        <w:rPr>
          <w:rFonts w:ascii="Arial" w:cs="Arial" w:eastAsia="Arial" w:hAnsi="Arial"/>
          <w:sz w:val="21"/>
          <w:szCs w:val="21"/>
          <w:u w:val="single" w:color="auto"/>
          <w:color w:val="auto"/>
        </w:rPr>
        <w:t>Company</w:t>
      </w:r>
      <w:r>
        <w:rPr>
          <w:rFonts w:ascii="Arial" w:cs="Arial" w:eastAsia="Arial" w:hAnsi="Arial"/>
          <w:sz w:val="21"/>
          <w:szCs w:val="21"/>
          <w:color w:val="auto"/>
        </w:rPr>
        <w:t>”) and Michael C. Eklund, 219 Canyon Turn Trail</w:t>
      </w:r>
      <w:r>
        <w:rPr>
          <w:rFonts w:ascii="Arial" w:cs="Arial" w:eastAsia="Arial" w:hAnsi="Arial"/>
          <w:sz w:val="18"/>
          <w:szCs w:val="18"/>
          <w:color w:val="auto"/>
        </w:rPr>
        <w:t>,</w:t>
      </w:r>
      <w:r>
        <w:rPr>
          <w:rFonts w:ascii="Arial" w:cs="Arial" w:eastAsia="Arial" w:hAnsi="Arial"/>
          <w:sz w:val="21"/>
          <w:szCs w:val="21"/>
          <w:color w:val="auto"/>
        </w:rPr>
        <w:t xml:space="preserve"> Austin, TX 78734 (“</w:t>
      </w:r>
      <w:r>
        <w:rPr>
          <w:rFonts w:ascii="Arial" w:cs="Arial" w:eastAsia="Arial" w:hAnsi="Arial"/>
          <w:sz w:val="21"/>
          <w:szCs w:val="21"/>
          <w:u w:val="single" w:color="auto"/>
          <w:color w:val="auto"/>
        </w:rPr>
        <w:t>you</w:t>
      </w:r>
      <w:r>
        <w:rPr>
          <w:rFonts w:ascii="Arial" w:cs="Arial" w:eastAsia="Arial" w:hAnsi="Arial"/>
          <w:sz w:val="21"/>
          <w:szCs w:val="21"/>
          <w:color w:val="auto"/>
        </w:rPr>
        <w:t>”), agree that:</w:t>
      </w:r>
    </w:p>
    <w:p>
      <w:pPr>
        <w:spacing w:after="0" w:line="178" w:lineRule="exact"/>
        <w:rPr>
          <w:sz w:val="20"/>
          <w:szCs w:val="20"/>
          <w:color w:val="auto"/>
        </w:rPr>
      </w:pPr>
    </w:p>
    <w:p>
      <w:pPr>
        <w:ind w:firstLine="413"/>
        <w:spacing w:after="0" w:line="247" w:lineRule="auto"/>
        <w:rPr>
          <w:sz w:val="20"/>
          <w:szCs w:val="20"/>
          <w:color w:val="auto"/>
        </w:rPr>
      </w:pPr>
      <w:r>
        <w:rPr>
          <w:rFonts w:ascii="Arial" w:cs="Arial" w:eastAsia="Arial" w:hAnsi="Arial"/>
          <w:sz w:val="21"/>
          <w:szCs w:val="21"/>
          <w:color w:val="auto"/>
        </w:rPr>
        <w:t>WHEREAS, the Company and you entered into an Employment Agreement dated as of April 23, 2020, and a First Amendment to Employment Agreement dated November 30, 2020 (as amended,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and</w:t>
      </w:r>
    </w:p>
    <w:p>
      <w:pPr>
        <w:spacing w:after="0" w:line="178" w:lineRule="exact"/>
        <w:rPr>
          <w:sz w:val="20"/>
          <w:szCs w:val="20"/>
          <w:color w:val="auto"/>
        </w:rPr>
      </w:pPr>
    </w:p>
    <w:p>
      <w:pPr>
        <w:ind w:firstLine="214"/>
        <w:spacing w:after="0" w:line="232" w:lineRule="auto"/>
        <w:rPr>
          <w:sz w:val="20"/>
          <w:szCs w:val="20"/>
          <w:color w:val="auto"/>
        </w:rPr>
      </w:pPr>
      <w:r>
        <w:rPr>
          <w:rFonts w:ascii="Arial" w:cs="Arial" w:eastAsia="Arial" w:hAnsi="Arial"/>
          <w:sz w:val="22"/>
          <w:szCs w:val="22"/>
          <w:color w:val="auto"/>
        </w:rPr>
        <w:t>WHEREAS, you and the Company wish to resolve all matters related to your employment with the Company, on the terms and conditions expressed in this Agreement and General Release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86" w:lineRule="exact"/>
        <w:rPr>
          <w:sz w:val="20"/>
          <w:szCs w:val="20"/>
          <w:color w:val="auto"/>
        </w:rPr>
      </w:pPr>
    </w:p>
    <w:p>
      <w:pPr>
        <w:ind w:firstLine="310"/>
        <w:spacing w:after="0" w:line="232" w:lineRule="auto"/>
        <w:rPr>
          <w:sz w:val="20"/>
          <w:szCs w:val="20"/>
          <w:color w:val="auto"/>
        </w:rPr>
      </w:pPr>
      <w:r>
        <w:rPr>
          <w:rFonts w:ascii="Arial" w:cs="Arial" w:eastAsia="Arial" w:hAnsi="Arial"/>
          <w:sz w:val="22"/>
          <w:szCs w:val="22"/>
          <w:color w:val="auto"/>
        </w:rPr>
        <w:t>NOW THEREFORE, in consideration of the mutual promises contained herein, the parties, intending to be legally bound, agree as follows:</w:t>
      </w:r>
    </w:p>
    <w:p>
      <w:pPr>
        <w:spacing w:after="0" w:line="180" w:lineRule="exact"/>
        <w:rPr>
          <w:sz w:val="20"/>
          <w:szCs w:val="20"/>
          <w:color w:val="auto"/>
        </w:rPr>
      </w:pPr>
    </w:p>
    <w:p>
      <w:pPr>
        <w:jc w:val="both"/>
        <w:ind w:firstLine="656"/>
        <w:spacing w:after="0" w:line="225" w:lineRule="auto"/>
        <w:tabs>
          <w:tab w:leader="none" w:pos="1296" w:val="left"/>
        </w:tabs>
        <w:numPr>
          <w:ilvl w:val="0"/>
          <w:numId w:val="101"/>
        </w:numPr>
        <w:rPr>
          <w:rFonts w:ascii="Arial" w:cs="Arial" w:eastAsia="Arial" w:hAnsi="Arial"/>
          <w:sz w:val="22"/>
          <w:szCs w:val="22"/>
          <w:color w:val="auto"/>
        </w:rPr>
      </w:pPr>
      <w:r>
        <w:rPr>
          <w:rFonts w:ascii="Arial" w:cs="Arial" w:eastAsia="Arial" w:hAnsi="Arial"/>
          <w:sz w:val="22"/>
          <w:szCs w:val="22"/>
          <w:b w:val="1"/>
          <w:bCs w:val="1"/>
          <w:u w:val="single" w:color="auto"/>
          <w:color w:val="auto"/>
        </w:rPr>
        <w:t>Last Day of Employment</w:t>
      </w:r>
      <w:r>
        <w:rPr>
          <w:rFonts w:ascii="Arial" w:cs="Arial" w:eastAsia="Arial" w:hAnsi="Arial"/>
          <w:sz w:val="22"/>
          <w:szCs w:val="22"/>
          <w:color w:val="auto"/>
        </w:rPr>
        <w:t>. Your last day of employment with the Company is October 15, 2021 (the “</w:t>
      </w:r>
      <w:r>
        <w:rPr>
          <w:rFonts w:ascii="Arial" w:cs="Arial" w:eastAsia="Arial" w:hAnsi="Arial"/>
          <w:sz w:val="22"/>
          <w:szCs w:val="22"/>
          <w:u w:val="single" w:color="auto"/>
          <w:color w:val="auto"/>
        </w:rPr>
        <w:t>Separation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The Employment Agreement will terminate on that date, except that any provisions in the Employment Agreement designed to survive termination will survive.</w:t>
      </w:r>
    </w:p>
    <w:p>
      <w:pPr>
        <w:spacing w:after="0" w:line="152" w:lineRule="exact"/>
        <w:rPr>
          <w:rFonts w:ascii="Arial" w:cs="Arial" w:eastAsia="Arial" w:hAnsi="Arial"/>
          <w:sz w:val="22"/>
          <w:szCs w:val="22"/>
          <w:color w:val="auto"/>
        </w:rPr>
      </w:pPr>
    </w:p>
    <w:p>
      <w:pPr>
        <w:ind w:left="1040" w:hanging="384"/>
        <w:spacing w:after="0"/>
        <w:tabs>
          <w:tab w:leader="none" w:pos="1040" w:val="left"/>
        </w:tabs>
        <w:numPr>
          <w:ilvl w:val="0"/>
          <w:numId w:val="101"/>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Severance Benefits In Return for Signing</w:t>
      </w:r>
      <w:r>
        <w:rPr>
          <w:rFonts w:ascii="Arial" w:cs="Arial" w:eastAsia="Arial" w:hAnsi="Arial"/>
          <w:sz w:val="22"/>
          <w:szCs w:val="22"/>
          <w:color w:val="auto"/>
        </w:rPr>
        <w:t>.</w:t>
      </w:r>
    </w:p>
    <w:p>
      <w:pPr>
        <w:spacing w:after="0" w:line="185" w:lineRule="exact"/>
        <w:rPr>
          <w:sz w:val="20"/>
          <w:szCs w:val="20"/>
          <w:color w:val="auto"/>
        </w:rPr>
      </w:pPr>
    </w:p>
    <w:p>
      <w:pPr>
        <w:jc w:val="both"/>
        <w:ind w:left="1300" w:hanging="644"/>
        <w:spacing w:after="0" w:line="216" w:lineRule="auto"/>
        <w:tabs>
          <w:tab w:leader="none" w:pos="1297"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 In return for your signing this Agreement and complying with the promises made by you in this Agreement and the Employment Agreement, the Company will provide you with the following severance benefits (the “</w:t>
      </w:r>
      <w:r>
        <w:rPr>
          <w:rFonts w:ascii="Arial" w:cs="Arial" w:eastAsia="Arial" w:hAnsi="Arial"/>
          <w:sz w:val="22"/>
          <w:szCs w:val="22"/>
          <w:u w:val="single" w:color="auto"/>
          <w:color w:val="auto"/>
        </w:rPr>
        <w:t>Severance Benefits</w:t>
      </w:r>
      <w:r>
        <w:rPr>
          <w:rFonts w:ascii="Arial" w:cs="Arial" w:eastAsia="Arial" w:hAnsi="Arial"/>
          <w:sz w:val="22"/>
          <w:szCs w:val="22"/>
          <w:color w:val="auto"/>
        </w:rPr>
        <w:t>”) described below in subsections (i)-(iv). You acknowledge and agree that the Severance Benefits are separate from and in addition to what you are already entitled to receive from the Company. The Severance Benefits are:</w:t>
      </w:r>
    </w:p>
    <w:p>
      <w:pPr>
        <w:spacing w:after="0" w:line="211" w:lineRule="exact"/>
        <w:rPr>
          <w:rFonts w:ascii="Arial" w:cs="Arial" w:eastAsia="Arial" w:hAnsi="Arial"/>
          <w:sz w:val="22"/>
          <w:szCs w:val="22"/>
          <w:color w:val="auto"/>
        </w:rPr>
      </w:pPr>
    </w:p>
    <w:p>
      <w:pPr>
        <w:jc w:val="both"/>
        <w:ind w:left="1960" w:right="160" w:hanging="656"/>
        <w:spacing w:after="0" w:line="312" w:lineRule="auto"/>
        <w:tabs>
          <w:tab w:leader="none" w:pos="1948"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Company will pay you an amount equal to $1,705,890.41, less required and/or authorized deductions and withholdings (including withholding at the supplemental rate as required), on the Company’s regular pay days and in accordance with the Company’s payroll practices over 42 pay periods as follows:</w:t>
      </w:r>
    </w:p>
    <w:p>
      <w:pPr>
        <w:spacing w:after="0" w:line="200" w:lineRule="exact"/>
        <w:rPr>
          <w:sz w:val="20"/>
          <w:szCs w:val="20"/>
          <w:color w:val="auto"/>
        </w:rPr>
      </w:pPr>
    </w:p>
    <w:p>
      <w:pPr>
        <w:spacing w:after="0" w:line="218" w:lineRule="exact"/>
        <w:rPr>
          <w:sz w:val="20"/>
          <w:szCs w:val="20"/>
          <w:color w:val="auto"/>
        </w:rPr>
      </w:pPr>
    </w:p>
    <w:tbl>
      <w:tblPr>
        <w:tblLayout w:type="fixed"/>
        <w:tblInd w:w="1970" w:type="dxa"/>
        <w:tblCellMar>
          <w:top w:w="0" w:type="dxa"/>
          <w:left w:w="0" w:type="dxa"/>
          <w:bottom w:w="0" w:type="dxa"/>
          <w:right w:w="0" w:type="dxa"/>
        </w:tblCellMar>
      </w:tblPr>
      <w:tr>
        <w:trPr>
          <w:trHeight w:val="318"/>
        </w:trPr>
        <w:tc>
          <w:tcPr>
            <w:tcW w:w="37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Gross amount</w:t>
            </w:r>
          </w:p>
        </w:tc>
        <w:tc>
          <w:tcPr>
            <w:tcW w:w="35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Pay Period</w:t>
            </w:r>
          </w:p>
        </w:tc>
      </w:tr>
      <w:tr>
        <w:trPr>
          <w:trHeight w:val="304"/>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$40,384.62</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1-25</w:t>
            </w:r>
          </w:p>
        </w:tc>
      </w:tr>
      <w:tr>
        <w:trPr>
          <w:trHeight w:val="304"/>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$40,384.50</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26</w:t>
            </w:r>
          </w:p>
        </w:tc>
      </w:tr>
      <w:tr>
        <w:trPr>
          <w:trHeight w:val="304"/>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$40,993.15</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27-41</w:t>
            </w:r>
          </w:p>
        </w:tc>
      </w:tr>
      <w:tr>
        <w:trPr>
          <w:trHeight w:val="304"/>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$40,993.16</w:t>
            </w:r>
          </w:p>
        </w:tc>
        <w:tc>
          <w:tcPr>
            <w:tcW w:w="3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42</w:t>
            </w:r>
          </w:p>
        </w:tc>
      </w:tr>
    </w:tbl>
    <w:p>
      <w:pPr>
        <w:spacing w:after="0" w:line="200" w:lineRule="exact"/>
        <w:rPr>
          <w:sz w:val="20"/>
          <w:szCs w:val="20"/>
          <w:color w:val="auto"/>
        </w:rPr>
      </w:pPr>
    </w:p>
    <w:p>
      <w:pPr>
        <w:spacing w:after="0" w:line="373" w:lineRule="exact"/>
        <w:rPr>
          <w:sz w:val="20"/>
          <w:szCs w:val="20"/>
          <w:color w:val="auto"/>
        </w:rPr>
      </w:pPr>
    </w:p>
    <w:p>
      <w:pPr>
        <w:ind w:left="1960" w:right="140"/>
        <w:spacing w:after="0" w:line="263" w:lineRule="auto"/>
        <w:rPr>
          <w:sz w:val="20"/>
          <w:szCs w:val="20"/>
          <w:color w:val="auto"/>
        </w:rPr>
      </w:pPr>
      <w:r>
        <w:rPr>
          <w:rFonts w:ascii="Arial" w:cs="Arial" w:eastAsia="Arial" w:hAnsi="Arial"/>
          <w:sz w:val="22"/>
          <w:szCs w:val="22"/>
          <w:color w:val="auto"/>
        </w:rPr>
        <w:t>Such payments shall commence within the first full payroll period after the Effective Date (as defined in Section 12(b) of this Agreement).</w:t>
      </w:r>
    </w:p>
    <w:p>
      <w:pPr>
        <w:sectPr>
          <w:pgSz w:w="11900" w:h="16838" w:orient="portrait"/>
          <w:cols w:equalWidth="0" w:num="1">
            <w:col w:w="11240"/>
          </w:cols>
          <w:pgMar w:left="320" w:top="98" w:right="339" w:bottom="1440" w:gutter="0" w:footer="0" w:header="0"/>
        </w:sectPr>
      </w:pPr>
    </w:p>
    <w:bookmarkStart w:id="194" w:name="page195"/>
    <w:bookmarkEnd w:id="194"/>
    <w:p>
      <w:pPr>
        <w:jc w:val="both"/>
        <w:ind w:left="840" w:hanging="656"/>
        <w:spacing w:after="0" w:line="287" w:lineRule="auto"/>
        <w:tabs>
          <w:tab w:leader="none" w:pos="83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If you choose to continue your health insurance by properly and timely electing COBRA coverage under and pursuant to COBRA, 29 U.S.C. § 1161 et seq., the Company will pay the employee and employer share of the premiums (based on your current coverage elections) for up to a maximum of twelve (12) months (the "</w:t>
      </w:r>
      <w:r>
        <w:rPr>
          <w:rFonts w:ascii="Arial" w:cs="Arial" w:eastAsia="Arial" w:hAnsi="Arial"/>
          <w:sz w:val="19"/>
          <w:szCs w:val="19"/>
          <w:u w:val="single" w:color="auto"/>
          <w:color w:val="auto"/>
        </w:rPr>
        <w:t>COBRA Payment Period</w:t>
      </w:r>
      <w:r>
        <w:rPr>
          <w:rFonts w:ascii="Arial" w:cs="Arial" w:eastAsia="Arial" w:hAnsi="Arial"/>
          <w:sz w:val="19"/>
          <w:szCs w:val="19"/>
          <w:color w:val="auto"/>
        </w:rPr>
        <w:t>"). You acknowledge the COBRA Payment Period will end early if you become eligible for medical coverage from a new employer and you agree that you will immediately notify the Company in writing if you become eligible for such coverage by sending an e-mail to the Company's Chief Human Resources Officer. During the COBRA Payment Period, the premiums will be paid by the Company directly to the provider. After the COBRA Payment Period, you will be responsible for paying the entire COBRA premium on a timely basis if, and for as long as, you choose to elect COBRA continuation coverage, and to the extent that you remain eligible for COBRA continuation coverage as provided by state and federal laws. You will receive information on your opportunity to elect COBRA coverage under separate cover.</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left="840" w:hanging="656"/>
        <w:spacing w:after="0" w:line="292" w:lineRule="auto"/>
        <w:tabs>
          <w:tab w:leader="none" w:pos="8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No later than March 15, 2022, a Company representative will notify you if bonuses under the 2021 SGICP Cash Bonus Plan are approved for payment by the Compensation Committee of the Company's Board of Directors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If approved, no later than March 15, 2022, the Company will pay you a lump sum amount, subject to applicable withholdings, in the amount of any annual bonus that would have been payable to you for Fiscal Year 2021 pursuant to the 2021 SGICP Cash Bonus Plan, calculated and as approved by the Compensation Committee. Any bonus paid to you will be pro-rated based on the number of days you were employed in 2021.</w:t>
      </w:r>
    </w:p>
    <w:p>
      <w:pPr>
        <w:spacing w:after="0" w:line="177" w:lineRule="exact"/>
        <w:rPr>
          <w:rFonts w:ascii="Arial" w:cs="Arial" w:eastAsia="Arial" w:hAnsi="Arial"/>
          <w:sz w:val="19"/>
          <w:szCs w:val="19"/>
          <w:color w:val="auto"/>
        </w:rPr>
      </w:pPr>
    </w:p>
    <w:p>
      <w:pPr>
        <w:jc w:val="both"/>
        <w:ind w:left="840" w:hanging="656"/>
        <w:spacing w:after="0" w:line="250" w:lineRule="auto"/>
        <w:tabs>
          <w:tab w:leader="none" w:pos="82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Subject to Section 5.6 of the Employment Agreement, accelerated vesting as of the Effective Date of the restricted stock units held by you shown on the chart below (“</w:t>
      </w:r>
      <w:r>
        <w:rPr>
          <w:rFonts w:ascii="Arial" w:cs="Arial" w:eastAsia="Arial" w:hAnsi="Arial"/>
          <w:sz w:val="22"/>
          <w:szCs w:val="22"/>
          <w:u w:val="single" w:color="auto"/>
          <w:color w:val="auto"/>
        </w:rPr>
        <w:t>Accelerated RSUs</w:t>
      </w:r>
      <w:r>
        <w:rPr>
          <w:rFonts w:ascii="Arial" w:cs="Arial" w:eastAsia="Arial" w:hAnsi="Arial"/>
          <w:sz w:val="22"/>
          <w:szCs w:val="22"/>
          <w:color w:val="auto"/>
        </w:rPr>
        <w:t>"). In all other respects, such Accelerated RSUs shall be governed by the plans and programs and the agreements and other documents pursuant to which such awards were granted.</w:t>
      </w:r>
    </w:p>
    <w:p>
      <w:pPr>
        <w:spacing w:after="0" w:line="230" w:lineRule="exact"/>
        <w:rPr>
          <w:sz w:val="20"/>
          <w:szCs w:val="20"/>
          <w:color w:val="auto"/>
        </w:rPr>
      </w:pPr>
    </w:p>
    <w:tbl>
      <w:tblPr>
        <w:tblLayout w:type="fixed"/>
        <w:tblInd w:w="850" w:type="dxa"/>
        <w:tblCellMar>
          <w:top w:w="0" w:type="dxa"/>
          <w:left w:w="0" w:type="dxa"/>
          <w:bottom w:w="0" w:type="dxa"/>
          <w:right w:w="0" w:type="dxa"/>
        </w:tblCellMar>
      </w:tblPr>
      <w:tr>
        <w:trPr>
          <w:trHeight w:val="247"/>
        </w:trPr>
        <w:tc>
          <w:tcPr>
            <w:tcW w:w="16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Grant Date</w:t>
            </w:r>
          </w:p>
        </w:tc>
        <w:tc>
          <w:tcPr>
            <w:tcW w:w="17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Product ID</w:t>
            </w:r>
          </w:p>
        </w:tc>
        <w:tc>
          <w:tcPr>
            <w:tcW w:w="16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Unvested</w:t>
            </w:r>
          </w:p>
        </w:tc>
      </w:tr>
      <w:tr>
        <w:trPr>
          <w:trHeight w:val="256"/>
        </w:trPr>
        <w:tc>
          <w:tcPr>
            <w:tcW w:w="1620" w:type="dxa"/>
            <w:vAlign w:val="bottom"/>
            <w:tcBorders>
              <w:left w:val="single" w:sz="8" w:color="auto"/>
              <w:right w:val="single" w:sz="8" w:color="auto"/>
            </w:tcBorders>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ind w:left="60"/>
              <w:spacing w:after="0"/>
              <w:rPr>
                <w:sz w:val="20"/>
                <w:szCs w:val="20"/>
                <w:color w:val="auto"/>
              </w:rPr>
            </w:pPr>
            <w:r>
              <w:rPr>
                <w:rFonts w:ascii="Arial" w:cs="Arial" w:eastAsia="Arial" w:hAnsi="Arial"/>
                <w:sz w:val="20"/>
                <w:szCs w:val="20"/>
                <w:b w:val="1"/>
                <w:bCs w:val="1"/>
                <w:color w:val="auto"/>
              </w:rPr>
              <w:t>Quantity</w:t>
            </w:r>
          </w:p>
        </w:tc>
      </w:tr>
      <w:tr>
        <w:trPr>
          <w:trHeight w:val="23"/>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r>
      <w:tr>
        <w:trPr>
          <w:trHeight w:val="254"/>
        </w:trPr>
        <w:tc>
          <w:tcPr>
            <w:tcW w:w="16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6/8/2020</w:t>
            </w:r>
          </w:p>
        </w:tc>
        <w:tc>
          <w:tcPr>
            <w:tcW w:w="17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2020RSUKE</w:t>
            </w: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16,667</w:t>
            </w:r>
          </w:p>
        </w:tc>
      </w:tr>
      <w:tr>
        <w:trPr>
          <w:trHeight w:val="23"/>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r>
      <w:tr>
        <w:trPr>
          <w:trHeight w:val="254"/>
        </w:trPr>
        <w:tc>
          <w:tcPr>
            <w:tcW w:w="16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6/8/2020</w:t>
            </w:r>
          </w:p>
        </w:tc>
        <w:tc>
          <w:tcPr>
            <w:tcW w:w="17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2020RSUKE</w:t>
            </w: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16,666</w:t>
            </w:r>
          </w:p>
        </w:tc>
      </w:tr>
      <w:tr>
        <w:trPr>
          <w:trHeight w:val="23"/>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r>
      <w:tr>
        <w:trPr>
          <w:trHeight w:val="254"/>
        </w:trPr>
        <w:tc>
          <w:tcPr>
            <w:tcW w:w="16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6/8/2020</w:t>
            </w:r>
          </w:p>
        </w:tc>
        <w:tc>
          <w:tcPr>
            <w:tcW w:w="170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EXEC2023PV</w:t>
            </w: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75,000</w:t>
            </w:r>
          </w:p>
        </w:tc>
      </w:tr>
      <w:tr>
        <w:trPr>
          <w:trHeight w:val="23"/>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r>
      <w:tr>
        <w:trPr>
          <w:trHeight w:val="237"/>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Total:</w:t>
            </w: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108,333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980"/>
          </w:cols>
          <w:pgMar w:left="1440" w:top="1036" w:right="479" w:bottom="1440" w:gutter="0" w:footer="0" w:header="0"/>
        </w:sectPr>
      </w:pPr>
    </w:p>
    <w:bookmarkStart w:id="195" w:name="page196"/>
    <w:bookmarkEnd w:id="195"/>
    <w:p>
      <w:pPr>
        <w:ind w:left="660" w:right="160"/>
        <w:spacing w:after="0" w:line="263" w:lineRule="auto"/>
        <w:rPr>
          <w:sz w:val="20"/>
          <w:szCs w:val="20"/>
          <w:color w:val="auto"/>
        </w:rPr>
      </w:pPr>
      <w:r>
        <w:rPr>
          <w:rFonts w:ascii="Arial" w:cs="Arial" w:eastAsia="Arial" w:hAnsi="Arial"/>
          <w:sz w:val="22"/>
          <w:szCs w:val="22"/>
          <w:color w:val="auto"/>
        </w:rPr>
        <w:t>For the avoidance of doubt, except for the Accelerated RSUs, all unvested restricted stock units granted to you by the Company are forfeited on the Separation Date.</w:t>
      </w:r>
    </w:p>
    <w:p>
      <w:pPr>
        <w:spacing w:after="0" w:line="175" w:lineRule="exact"/>
        <w:rPr>
          <w:sz w:val="20"/>
          <w:szCs w:val="20"/>
          <w:color w:val="auto"/>
        </w:rPr>
      </w:pPr>
    </w:p>
    <w:p>
      <w:pPr>
        <w:ind w:left="1120" w:hanging="464"/>
        <w:spacing w:after="0"/>
        <w:tabs>
          <w:tab w:leader="none" w:pos="112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Additional Obligations</w:t>
      </w:r>
      <w:r>
        <w:rPr>
          <w:rFonts w:ascii="Arial" w:cs="Arial" w:eastAsia="Arial" w:hAnsi="Arial"/>
          <w:sz w:val="22"/>
          <w:szCs w:val="22"/>
          <w:color w:val="auto"/>
        </w:rPr>
        <w:t>. Additionally, the Company acknowledges the following obligations to you:</w:t>
      </w:r>
    </w:p>
    <w:p>
      <w:pPr>
        <w:spacing w:after="0" w:line="206" w:lineRule="exact"/>
        <w:rPr>
          <w:rFonts w:ascii="Arial" w:cs="Arial" w:eastAsia="Arial" w:hAnsi="Arial"/>
          <w:sz w:val="22"/>
          <w:szCs w:val="22"/>
          <w:color w:val="auto"/>
        </w:rPr>
      </w:pPr>
    </w:p>
    <w:p>
      <w:pPr>
        <w:jc w:val="both"/>
        <w:ind w:left="1960" w:hanging="656"/>
        <w:spacing w:after="0" w:line="223" w:lineRule="auto"/>
        <w:tabs>
          <w:tab w:leader="none" w:pos="1948"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Company shall pay you your regular base salary, accrued and unpaid up to and including the Separation Date pursuant to applicable law, less required and/or authorized deductions and withholdings, and payable in accordance with Company’s regular payroll practices;</w:t>
      </w:r>
    </w:p>
    <w:p>
      <w:pPr>
        <w:spacing w:after="0" w:line="185" w:lineRule="exact"/>
        <w:rPr>
          <w:rFonts w:ascii="Arial" w:cs="Arial" w:eastAsia="Arial" w:hAnsi="Arial"/>
          <w:sz w:val="22"/>
          <w:szCs w:val="22"/>
          <w:color w:val="auto"/>
        </w:rPr>
      </w:pPr>
    </w:p>
    <w:p>
      <w:pPr>
        <w:jc w:val="both"/>
        <w:ind w:left="1960" w:hanging="656"/>
        <w:spacing w:after="0" w:line="218" w:lineRule="auto"/>
        <w:tabs>
          <w:tab w:leader="none" w:pos="1954"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Company agrees to reimburse you for all reasonable and necessary out-of-pocket business related expenses you incurred at the request of the Company prior to the Separation Date, provided that you shall submit reasonable documentation of such expenses prior to the Effective Date and in accordance with the applicable Company policy; and</w:t>
      </w:r>
    </w:p>
    <w:p>
      <w:pPr>
        <w:spacing w:after="0" w:line="187" w:lineRule="exact"/>
        <w:rPr>
          <w:rFonts w:ascii="Arial" w:cs="Arial" w:eastAsia="Arial" w:hAnsi="Arial"/>
          <w:sz w:val="22"/>
          <w:szCs w:val="22"/>
          <w:color w:val="auto"/>
        </w:rPr>
      </w:pPr>
    </w:p>
    <w:p>
      <w:pPr>
        <w:jc w:val="both"/>
        <w:ind w:left="1960" w:hanging="656"/>
        <w:spacing w:after="0" w:line="257" w:lineRule="auto"/>
        <w:tabs>
          <w:tab w:leader="none" w:pos="1927" w:val="left"/>
        </w:tabs>
        <w:numPr>
          <w:ilvl w:val="1"/>
          <w:numId w:val="104"/>
        </w:numPr>
        <w:rPr>
          <w:rFonts w:ascii="Arial" w:cs="Arial" w:eastAsia="Arial" w:hAnsi="Arial"/>
          <w:sz w:val="19"/>
          <w:szCs w:val="19"/>
          <w:color w:val="auto"/>
        </w:rPr>
      </w:pPr>
      <w:r>
        <w:rPr>
          <w:rFonts w:ascii="Arial" w:cs="Arial" w:eastAsia="Arial" w:hAnsi="Arial"/>
          <w:sz w:val="19"/>
          <w:szCs w:val="19"/>
          <w:color w:val="auto"/>
        </w:rPr>
        <w:t>Following the Separation Date, you shall be entitled to any amount arising from your participation in, or benefits under, any employee benefit plans, programs or arrangements that become payable as a result of your separation from the Company, which amounts shall be payable in accordance with the terms and conditions of such employee benefit plans, programs or arrangements and pursuant to applicable law.</w:t>
      </w:r>
    </w:p>
    <w:p>
      <w:pPr>
        <w:spacing w:after="0" w:line="171" w:lineRule="exact"/>
        <w:rPr>
          <w:rFonts w:ascii="Arial" w:cs="Arial" w:eastAsia="Arial" w:hAnsi="Arial"/>
          <w:sz w:val="19"/>
          <w:szCs w:val="19"/>
          <w:color w:val="auto"/>
        </w:rPr>
      </w:pPr>
    </w:p>
    <w:p>
      <w:pPr>
        <w:ind w:left="1300" w:hanging="644"/>
        <w:spacing w:after="0" w:line="247" w:lineRule="auto"/>
        <w:tabs>
          <w:tab w:leader="none" w:pos="1175"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No Other Benefits</w:t>
      </w:r>
      <w:r>
        <w:rPr>
          <w:rFonts w:ascii="Arial" w:cs="Arial" w:eastAsia="Arial" w:hAnsi="Arial"/>
          <w:sz w:val="21"/>
          <w:szCs w:val="21"/>
          <w:color w:val="auto"/>
        </w:rPr>
        <w:t>. Except as provided in this Agreement, you shall not be entitled to receive any other payment, benefit or other form of compensation as a result of your employment or the termination thereof.</w:t>
      </w:r>
    </w:p>
    <w:p>
      <w:pPr>
        <w:spacing w:after="0" w:line="177" w:lineRule="exact"/>
        <w:rPr>
          <w:rFonts w:ascii="Arial" w:cs="Arial" w:eastAsia="Arial" w:hAnsi="Arial"/>
          <w:sz w:val="21"/>
          <w:szCs w:val="21"/>
          <w:color w:val="auto"/>
        </w:rPr>
      </w:pPr>
    </w:p>
    <w:p>
      <w:pPr>
        <w:ind w:left="1300" w:hanging="644"/>
        <w:spacing w:after="0" w:line="232" w:lineRule="auto"/>
        <w:tabs>
          <w:tab w:leader="none" w:pos="1147"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All payments made by the Company to you hereunder except for COBRA payments and expense reimbursements shall be subject to all applicable withholding deductions.</w:t>
      </w:r>
    </w:p>
    <w:p>
      <w:pPr>
        <w:spacing w:after="0" w:line="180" w:lineRule="exact"/>
        <w:rPr>
          <w:sz w:val="20"/>
          <w:szCs w:val="20"/>
          <w:color w:val="auto"/>
        </w:rPr>
      </w:pPr>
    </w:p>
    <w:p>
      <w:pPr>
        <w:jc w:val="both"/>
        <w:ind w:firstLine="656"/>
        <w:spacing w:after="0" w:line="220" w:lineRule="auto"/>
        <w:tabs>
          <w:tab w:leader="none" w:pos="1026" w:val="left"/>
        </w:tabs>
        <w:numPr>
          <w:ilvl w:val="1"/>
          <w:numId w:val="105"/>
        </w:numPr>
        <w:rPr>
          <w:rFonts w:ascii="Arial" w:cs="Arial" w:eastAsia="Arial" w:hAnsi="Arial"/>
          <w:sz w:val="22"/>
          <w:szCs w:val="22"/>
          <w:color w:val="auto"/>
        </w:rPr>
      </w:pPr>
      <w:r>
        <w:rPr>
          <w:rFonts w:ascii="Arial" w:cs="Arial" w:eastAsia="Arial" w:hAnsi="Arial"/>
          <w:sz w:val="22"/>
          <w:szCs w:val="22"/>
          <w:b w:val="1"/>
          <w:bCs w:val="1"/>
          <w:u w:val="single" w:color="auto"/>
          <w:color w:val="auto"/>
        </w:rPr>
        <w:t>No Severance Benefits Unless You Sign this Agreement and Do Not Revoke It</w:t>
      </w:r>
      <w:r>
        <w:rPr>
          <w:rFonts w:ascii="Arial" w:cs="Arial" w:eastAsia="Arial" w:hAnsi="Arial"/>
          <w:sz w:val="22"/>
          <w:szCs w:val="22"/>
          <w:color w:val="auto"/>
        </w:rPr>
        <w:t>. You understand and agree that you</w:t>
      </w:r>
      <w:r>
        <w:rPr>
          <w:rFonts w:ascii="Arial" w:cs="Arial" w:eastAsia="Arial" w:hAnsi="Arial"/>
          <w:sz w:val="22"/>
          <w:szCs w:val="22"/>
          <w:b w:val="1"/>
          <w:bCs w:val="1"/>
          <w:color w:val="auto"/>
        </w:rPr>
        <w:t xml:space="preserve"> </w:t>
      </w:r>
      <w:r>
        <w:rPr>
          <w:rFonts w:ascii="Arial" w:cs="Arial" w:eastAsia="Arial" w:hAnsi="Arial"/>
          <w:sz w:val="22"/>
          <w:szCs w:val="22"/>
          <w:color w:val="auto"/>
        </w:rPr>
        <w:t>will not receive any of the Severance Benefits specified in Section 2 above unless: (a) you sign and return a fully signed copy of this Agreement within the time period specified below and do not revoke or rescind this Agreement within the time period specified below, and (b) you fulfill all of the promises contained herein.</w:t>
      </w:r>
    </w:p>
    <w:p>
      <w:pPr>
        <w:spacing w:after="0" w:line="179" w:lineRule="exact"/>
        <w:rPr>
          <w:rFonts w:ascii="Arial" w:cs="Arial" w:eastAsia="Arial" w:hAnsi="Arial"/>
          <w:sz w:val="22"/>
          <w:szCs w:val="22"/>
          <w:color w:val="auto"/>
        </w:rPr>
      </w:pPr>
    </w:p>
    <w:p>
      <w:pPr>
        <w:jc w:val="both"/>
        <w:ind w:firstLine="366"/>
        <w:spacing w:after="0" w:line="217" w:lineRule="auto"/>
        <w:tabs>
          <w:tab w:leader="none" w:pos="877" w:val="left"/>
        </w:tabs>
        <w:numPr>
          <w:ilvl w:val="0"/>
          <w:numId w:val="106"/>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Release of Claims</w:t>
      </w:r>
      <w:r>
        <w:rPr>
          <w:rFonts w:ascii="Arial" w:cs="Arial" w:eastAsia="Arial" w:hAnsi="Arial"/>
          <w:sz w:val="22"/>
          <w:szCs w:val="22"/>
          <w:b w:val="1"/>
          <w:bCs w:val="1"/>
          <w:color w:val="auto"/>
        </w:rPr>
        <w:t xml:space="preserve">. </w:t>
      </w:r>
      <w:r>
        <w:rPr>
          <w:rFonts w:ascii="Arial" w:cs="Arial" w:eastAsia="Arial" w:hAnsi="Arial"/>
          <w:sz w:val="22"/>
          <w:szCs w:val="22"/>
          <w:color w:val="auto"/>
        </w:rPr>
        <w:t>In consideration for the Severance Benefits specified in Section 2 above, which you</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 are not otherwise owed to you, you understand and agree that you are knowingly and voluntarily releasing, waiving and forever discharging, to the fullest extent permitted by law, on your own behalf and on behalf of your agents, assignees, attorneys, heirs, executors, administrators and anyone else claiming by or through you (collectively referred to as the “</w:t>
      </w:r>
      <w:r>
        <w:rPr>
          <w:rFonts w:ascii="Arial" w:cs="Arial" w:eastAsia="Arial" w:hAnsi="Arial"/>
          <w:sz w:val="22"/>
          <w:szCs w:val="22"/>
          <w:u w:val="single" w:color="auto"/>
          <w:color w:val="auto"/>
        </w:rPr>
        <w:t>Releasors</w:t>
      </w:r>
      <w:r>
        <w:rPr>
          <w:rFonts w:ascii="Arial" w:cs="Arial" w:eastAsia="Arial" w:hAnsi="Arial"/>
          <w:sz w:val="22"/>
          <w:szCs w:val="22"/>
          <w:color w:val="auto"/>
        </w:rPr>
        <w:t>”):</w:t>
      </w:r>
    </w:p>
    <w:p>
      <w:pPr>
        <w:spacing w:after="0" w:line="158" w:lineRule="exact"/>
        <w:rPr>
          <w:sz w:val="20"/>
          <w:szCs w:val="20"/>
          <w:color w:val="auto"/>
        </w:rPr>
      </w:pPr>
    </w:p>
    <w:p>
      <w:pPr>
        <w:jc w:val="both"/>
        <w:ind w:left="660"/>
        <w:spacing w:after="0" w:line="218" w:lineRule="auto"/>
        <w:rPr>
          <w:sz w:val="20"/>
          <w:szCs w:val="20"/>
          <w:color w:val="auto"/>
        </w:rPr>
      </w:pPr>
      <w:r>
        <w:rPr>
          <w:rFonts w:ascii="Arial" w:cs="Arial" w:eastAsia="Arial" w:hAnsi="Arial"/>
          <w:sz w:val="22"/>
          <w:szCs w:val="22"/>
          <w:color w:val="auto"/>
        </w:rPr>
        <w:t>the Company, and its parents, affiliates, subsidiaries and members, predecessors, successors or assigns, and any of its or their past or present parents, affiliates, subsidiaries and members, predecessors, successors or assigns; and any of its or their past or present shareholders; and any of its or their past or present directors, executives, members, officers, insurers, attorneys, employees, consultants,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036" w:right="339" w:bottom="1440" w:gutter="0" w:footer="0" w:header="0"/>
        </w:sectPr>
      </w:pPr>
    </w:p>
    <w:bookmarkStart w:id="196" w:name="page197"/>
    <w:bookmarkEnd w:id="196"/>
    <w:p>
      <w:pPr>
        <w:ind w:left="660"/>
        <w:spacing w:after="0" w:line="232" w:lineRule="auto"/>
        <w:rPr>
          <w:sz w:val="20"/>
          <w:szCs w:val="20"/>
          <w:color w:val="auto"/>
        </w:rPr>
      </w:pPr>
      <w:r>
        <w:rPr>
          <w:rFonts w:ascii="Arial" w:cs="Arial" w:eastAsia="Arial" w:hAnsi="Arial"/>
          <w:sz w:val="22"/>
          <w:szCs w:val="22"/>
          <w:color w:val="auto"/>
        </w:rPr>
        <w:t>both individually and in their business capacities, and employee benefits plans and trustees, fiduciaries, and administrators of those plans (collectively referred to as the “</w:t>
      </w:r>
      <w:r>
        <w:rPr>
          <w:rFonts w:ascii="Arial" w:cs="Arial" w:eastAsia="Arial" w:hAnsi="Arial"/>
          <w:sz w:val="22"/>
          <w:szCs w:val="22"/>
          <w:u w:val="single" w:color="auto"/>
          <w:color w:val="auto"/>
        </w:rPr>
        <w:t>Released Parties</w:t>
      </w:r>
      <w:r>
        <w:rPr>
          <w:rFonts w:ascii="Arial" w:cs="Arial" w:eastAsia="Arial" w:hAnsi="Arial"/>
          <w:sz w:val="22"/>
          <w:szCs w:val="22"/>
          <w:color w:val="auto"/>
        </w:rPr>
        <w:t>”),</w:t>
      </w:r>
    </w:p>
    <w:p>
      <w:pPr>
        <w:spacing w:after="0" w:line="159"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of and from any and all claims under local, state or federal law, whether known or unknown, asserted and unasserted, that you and/or the other Releasors have or may have against Released Parties as of the day you sign this Agreement, including but not limited to all matters relating to or in any way arising out of any aspect of your employment with the Company, separation from employment with the Company, or your treatment by the Company while in the Company’s employ, all claims under any applicable law, and all other claims, charges, complaints, liens, demands, causes of action, obligations, damages (including punitive or exemplary damages), liabilities or the like (including without limitation attorneys’ fees and costs) (collectively “</w:t>
      </w:r>
      <w:r>
        <w:rPr>
          <w:rFonts w:ascii="Arial" w:cs="Arial" w:eastAsia="Arial" w:hAnsi="Arial"/>
          <w:sz w:val="21"/>
          <w:szCs w:val="21"/>
          <w:u w:val="single" w:color="auto"/>
          <w:color w:val="auto"/>
        </w:rPr>
        <w:t>Claims</w:t>
      </w:r>
      <w:r>
        <w:rPr>
          <w:rFonts w:ascii="Arial" w:cs="Arial" w:eastAsia="Arial" w:hAnsi="Arial"/>
          <w:sz w:val="21"/>
          <w:szCs w:val="21"/>
          <w:color w:val="auto"/>
        </w:rPr>
        <w:t>”), including but not limited to all Claims for:</w:t>
      </w:r>
    </w:p>
    <w:p>
      <w:pPr>
        <w:spacing w:after="0" w:line="164" w:lineRule="exact"/>
        <w:rPr>
          <w:sz w:val="20"/>
          <w:szCs w:val="20"/>
          <w:color w:val="auto"/>
        </w:rPr>
      </w:pPr>
    </w:p>
    <w:p>
      <w:pPr>
        <w:jc w:val="both"/>
        <w:ind w:left="1300" w:hanging="644"/>
        <w:spacing w:after="0" w:line="223" w:lineRule="auto"/>
        <w:tabs>
          <w:tab w:leader="none" w:pos="123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salary and other wages, including, but not limited to, overtime if applicable, incentive compensation and other bonuses, severance pay, paid time off or any benefits under the Employee Retirement Income Security Act of 1974, as amended or any other applicable local, state or federal law;</w:t>
      </w:r>
    </w:p>
    <w:p>
      <w:pPr>
        <w:spacing w:after="0" w:line="158" w:lineRule="exact"/>
        <w:rPr>
          <w:rFonts w:ascii="Arial" w:cs="Arial" w:eastAsia="Arial" w:hAnsi="Arial"/>
          <w:sz w:val="22"/>
          <w:szCs w:val="22"/>
          <w:color w:val="auto"/>
        </w:rPr>
      </w:pPr>
    </w:p>
    <w:p>
      <w:pPr>
        <w:ind w:left="1300" w:hanging="644"/>
        <w:spacing w:after="0" w:line="244" w:lineRule="auto"/>
        <w:tabs>
          <w:tab w:leader="none" w:pos="1199" w:val="left"/>
        </w:tabs>
        <w:numPr>
          <w:ilvl w:val="0"/>
          <w:numId w:val="107"/>
        </w:numPr>
        <w:rPr>
          <w:rFonts w:ascii="Arial" w:cs="Arial" w:eastAsia="Arial" w:hAnsi="Arial"/>
          <w:sz w:val="19"/>
          <w:szCs w:val="19"/>
          <w:color w:val="auto"/>
        </w:rPr>
      </w:pPr>
      <w:r>
        <w:rPr>
          <w:rFonts w:ascii="Arial" w:cs="Arial" w:eastAsia="Arial" w:hAnsi="Arial"/>
          <w:sz w:val="19"/>
          <w:szCs w:val="19"/>
          <w:color w:val="auto"/>
        </w:rPr>
        <w:t>discrimination, harassment or retaliation based upon race, color, national origin, ancestry, religion, marital status, sex, sexual orientation, citizenship status, pregnancy or any pregnancy related disability, family status, leave of absence (including but not limited to the Family Medical Leave Act or any other federal, state or local leave laws), handicap (including but not limited to The Rehabilitation Act of 1973), medical condition or disability, or any other characteristic covered by law under Title VII of the Civil Rights Act of 1964, as amended, the Civil Rights Act of 1991, the Americans with Disabilities Act, as amended, Sections 1981 through 1988 of the Civil Rights Act of 1866, and any other federal, state, or local law prohibiting discrimination in employment, the Worker Adjustment and Retraining Notification Act, or any other federal, state or local law concerning plant shutdowns, mass layoffs, reductions in force or other business restructuring;</w:t>
      </w:r>
    </w:p>
    <w:p>
      <w:pPr>
        <w:spacing w:after="0" w:line="160" w:lineRule="exact"/>
        <w:rPr>
          <w:rFonts w:ascii="Arial" w:cs="Arial" w:eastAsia="Arial" w:hAnsi="Arial"/>
          <w:sz w:val="19"/>
          <w:szCs w:val="19"/>
          <w:color w:val="auto"/>
        </w:rPr>
      </w:pPr>
    </w:p>
    <w:p>
      <w:pPr>
        <w:jc w:val="both"/>
        <w:ind w:left="1300" w:right="20" w:hanging="644"/>
        <w:spacing w:after="0" w:line="223" w:lineRule="auto"/>
        <w:tabs>
          <w:tab w:leader="none" w:pos="124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discrimination, harassment or retaliation based upon age under the Age Discrimination in Employment Act as amended by the Older Workers Benefit Protection Act of 1990 and as further amended (the “</w:t>
      </w:r>
      <w:r>
        <w:rPr>
          <w:rFonts w:ascii="Arial" w:cs="Arial" w:eastAsia="Arial" w:hAnsi="Arial"/>
          <w:sz w:val="22"/>
          <w:szCs w:val="22"/>
          <w:u w:val="single" w:color="auto"/>
          <w:color w:val="auto"/>
        </w:rPr>
        <w:t>ADEA</w:t>
      </w:r>
      <w:r>
        <w:rPr>
          <w:rFonts w:ascii="Arial" w:cs="Arial" w:eastAsia="Arial" w:hAnsi="Arial"/>
          <w:sz w:val="22"/>
          <w:szCs w:val="22"/>
          <w:color w:val="auto"/>
        </w:rPr>
        <w:t>”), or under any other federal, state, or local law prohibiting age discrimination;</w:t>
      </w:r>
    </w:p>
    <w:p>
      <w:pPr>
        <w:spacing w:after="0" w:line="158" w:lineRule="exact"/>
        <w:rPr>
          <w:rFonts w:ascii="Arial" w:cs="Arial" w:eastAsia="Arial" w:hAnsi="Arial"/>
          <w:sz w:val="22"/>
          <w:szCs w:val="22"/>
          <w:color w:val="auto"/>
        </w:rPr>
      </w:pPr>
    </w:p>
    <w:p>
      <w:pPr>
        <w:jc w:val="both"/>
        <w:ind w:left="1300" w:hanging="644"/>
        <w:spacing w:after="0" w:line="234" w:lineRule="auto"/>
        <w:tabs>
          <w:tab w:leader="none" w:pos="1294" w:val="left"/>
        </w:tabs>
        <w:numPr>
          <w:ilvl w:val="0"/>
          <w:numId w:val="107"/>
        </w:numPr>
        <w:rPr>
          <w:rFonts w:ascii="Arial" w:cs="Arial" w:eastAsia="Arial" w:hAnsi="Arial"/>
          <w:sz w:val="21"/>
          <w:szCs w:val="21"/>
          <w:color w:val="auto"/>
        </w:rPr>
      </w:pPr>
      <w:r>
        <w:rPr>
          <w:rFonts w:ascii="Arial" w:cs="Arial" w:eastAsia="Arial" w:hAnsi="Arial"/>
          <w:sz w:val="21"/>
          <w:szCs w:val="21"/>
          <w:color w:val="auto"/>
        </w:rPr>
        <w:t>breach of implied or express contract (whether written or oral), breach of promise, misrepresentation, fraud, estoppel, waiver or breach of any covenant of good faith and fair dealing, including without limitation breach of any express or implied covenants of any employment agreement that may be applicable to you;</w:t>
      </w:r>
    </w:p>
    <w:p>
      <w:pPr>
        <w:spacing w:after="0" w:line="157" w:lineRule="exact"/>
        <w:rPr>
          <w:rFonts w:ascii="Arial" w:cs="Arial" w:eastAsia="Arial" w:hAnsi="Arial"/>
          <w:sz w:val="21"/>
          <w:szCs w:val="21"/>
          <w:color w:val="auto"/>
        </w:rPr>
      </w:pPr>
    </w:p>
    <w:p>
      <w:pPr>
        <w:ind w:left="1300" w:hanging="644"/>
        <w:spacing w:after="0" w:line="247" w:lineRule="auto"/>
        <w:tabs>
          <w:tab w:leader="none" w:pos="1314" w:val="left"/>
        </w:tabs>
        <w:numPr>
          <w:ilvl w:val="0"/>
          <w:numId w:val="107"/>
        </w:numPr>
        <w:rPr>
          <w:rFonts w:ascii="Arial" w:cs="Arial" w:eastAsia="Arial" w:hAnsi="Arial"/>
          <w:sz w:val="21"/>
          <w:szCs w:val="21"/>
          <w:color w:val="auto"/>
        </w:rPr>
      </w:pPr>
      <w:r>
        <w:rPr>
          <w:rFonts w:ascii="Arial" w:cs="Arial" w:eastAsia="Arial" w:hAnsi="Arial"/>
          <w:sz w:val="21"/>
          <w:szCs w:val="21"/>
          <w:color w:val="auto"/>
        </w:rPr>
        <w:t>defamation, negligence, infliction of emotional distress, violation of public policy, wrongful or constructive discharge, or any employment-related tort recognized under any applicable local, state, or federal law;</w:t>
      </w:r>
    </w:p>
    <w:p>
      <w:pPr>
        <w:spacing w:after="0" w:line="150" w:lineRule="exact"/>
        <w:rPr>
          <w:rFonts w:ascii="Arial" w:cs="Arial" w:eastAsia="Arial" w:hAnsi="Arial"/>
          <w:sz w:val="21"/>
          <w:szCs w:val="21"/>
          <w:color w:val="auto"/>
        </w:rPr>
      </w:pPr>
    </w:p>
    <w:p>
      <w:pPr>
        <w:ind w:left="1300" w:hanging="644"/>
        <w:spacing w:after="0" w:line="232" w:lineRule="auto"/>
        <w:tabs>
          <w:tab w:leader="none" w:pos="109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violation of any Fair Employment Practices Act, Equal Rights Act; Civil Rights Act; Minimum Fair Wages Act; Equal Pay Act; or Payment of Wages Act; or any comparable federal, state or local law;</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violation of the Immigration Reform and Control Act, or any comparable federal, state or local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009" w:right="339" w:bottom="1440" w:gutter="0" w:footer="0" w:header="0"/>
        </w:sectPr>
      </w:pPr>
    </w:p>
    <w:bookmarkStart w:id="197" w:name="page198"/>
    <w:bookmarkEnd w:id="197"/>
    <w:p>
      <w:pPr>
        <w:ind w:left="1120" w:hanging="464"/>
        <w:spacing w:after="0"/>
        <w:tabs>
          <w:tab w:leader="none" w:pos="11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violation of the Fair Credit Reporting Act, or any comparable federal, state or local law;</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violation of the Family and Medical Leave Act;</w:t>
      </w:r>
    </w:p>
    <w:p>
      <w:pPr>
        <w:spacing w:after="0" w:line="179" w:lineRule="exact"/>
        <w:rPr>
          <w:rFonts w:ascii="Arial" w:cs="Arial" w:eastAsia="Arial" w:hAnsi="Arial"/>
          <w:sz w:val="22"/>
          <w:szCs w:val="22"/>
          <w:color w:val="auto"/>
        </w:rPr>
      </w:pPr>
    </w:p>
    <w:p>
      <w:pPr>
        <w:ind w:left="1300" w:hanging="644"/>
        <w:spacing w:after="0" w:line="223" w:lineRule="auto"/>
        <w:tabs>
          <w:tab w:leader="none" w:pos="107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violation of the Nevada Fair Employment Practices Act (Nev. Rev. Stat. §613.310 et seq.), any Nevada wage and hour law (Nev. Rev. Stat. §608.016 et seq.), or any comparable federal, state or local law and any violation of any comparable statute, regulation, or law of any country or nation;</w:t>
      </w:r>
    </w:p>
    <w:p>
      <w:pPr>
        <w:spacing w:after="0" w:line="158" w:lineRule="exact"/>
        <w:rPr>
          <w:rFonts w:ascii="Arial" w:cs="Arial" w:eastAsia="Arial" w:hAnsi="Arial"/>
          <w:sz w:val="22"/>
          <w:szCs w:val="22"/>
          <w:color w:val="auto"/>
        </w:rPr>
      </w:pPr>
    </w:p>
    <w:p>
      <w:pPr>
        <w:ind w:left="1300" w:right="20" w:hanging="644"/>
        <w:spacing w:after="0" w:line="223" w:lineRule="auto"/>
        <w:tabs>
          <w:tab w:leader="none" w:pos="115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violation of the Texas Commission on Human Rights Act, Texas Payday Law, Texas Labor Code, or the Texas Constitution, or any comparable federal, state or local law and any violation of any comparable statute, regulation, or law of any country or nation;</w:t>
      </w:r>
    </w:p>
    <w:p>
      <w:pPr>
        <w:spacing w:after="0" w:line="158" w:lineRule="exact"/>
        <w:rPr>
          <w:rFonts w:ascii="Arial" w:cs="Arial" w:eastAsia="Arial" w:hAnsi="Arial"/>
          <w:sz w:val="22"/>
          <w:szCs w:val="22"/>
          <w:color w:val="auto"/>
        </w:rPr>
      </w:pPr>
    </w:p>
    <w:p>
      <w:pPr>
        <w:ind w:left="1080" w:hanging="424"/>
        <w:spacing w:after="0"/>
        <w:tabs>
          <w:tab w:leader="none" w:pos="10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costs, fees, or other expenses, including attorneys’ fees; and</w:t>
      </w:r>
    </w:p>
    <w:p>
      <w:pPr>
        <w:spacing w:after="0" w:line="179" w:lineRule="exact"/>
        <w:rPr>
          <w:rFonts w:ascii="Arial" w:cs="Arial" w:eastAsia="Arial" w:hAnsi="Arial"/>
          <w:sz w:val="22"/>
          <w:szCs w:val="22"/>
          <w:color w:val="auto"/>
        </w:rPr>
      </w:pPr>
    </w:p>
    <w:p>
      <w:pPr>
        <w:ind w:left="1300" w:hanging="644"/>
        <w:spacing w:after="0" w:line="223" w:lineRule="auto"/>
        <w:tabs>
          <w:tab w:leader="none" w:pos="120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other claim, charge, complaint, lien, demand, cause of action, obligation, damages, liabilities or the like of any kind whatsoever, including, without limitation, any claim that this Agreement was induced or resulted from any fraud or misrepresentation by Company.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Excluded from the release set forth in this Section 4 are: (i) any Claims or rights to enforce this Agreement against the Company,</w:t>
      </w:r>
    </w:p>
    <w:p>
      <w:pPr>
        <w:spacing w:after="0" w:line="16" w:lineRule="exact"/>
        <w:rPr>
          <w:sz w:val="20"/>
          <w:szCs w:val="20"/>
          <w:color w:val="auto"/>
        </w:rPr>
      </w:pPr>
    </w:p>
    <w:p>
      <w:pPr>
        <w:jc w:val="both"/>
        <w:ind w:firstLine="8"/>
        <w:spacing w:after="0" w:line="243" w:lineRule="auto"/>
        <w:tabs>
          <w:tab w:leader="none" w:pos="32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Claims arising after the date you sign this Agreement, and (iii) any Claims that you cannot lawfully release. Notwithstanding anything to the contrary contained herein, including in Section 5 below, also excluded from the release set forth in this Section 4 is your right to file a charge with an administrative agency (including the Equal Employment Opportunity Commission and the National Labor Relations Board) or participate in any agency investigation. You are, however, to the extent allowed by law, waiving your right to recover money or other damages in connection with any such charge or investigation filed with the Equal Employment Opportunity Commission, the National Labor Relations Board or similar state or local agency. You are also, to the extent allowed by law, waiving your right to recover money in connection with a charge filed by any other individual or by the Equal Employment Opportunity Commission, National Labor Relations Board or similar state or local agency.</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Furthermore, notwithstanding anything herein to the contrary, nothing in this Agreement or any other agreement with the Company shall (i) prohibit you from making reports of possible violations of federal law or regulation to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or (ii) require notification or prior approval by the Company of any reporting described in clause (i).</w:t>
      </w:r>
    </w:p>
    <w:p>
      <w:pPr>
        <w:spacing w:after="0" w:line="170" w:lineRule="exact"/>
        <w:rPr>
          <w:sz w:val="20"/>
          <w:szCs w:val="20"/>
          <w:color w:val="auto"/>
        </w:rPr>
      </w:pPr>
    </w:p>
    <w:p>
      <w:pPr>
        <w:ind w:left="1040" w:hanging="384"/>
        <w:spacing w:after="0"/>
        <w:tabs>
          <w:tab w:leader="none" w:pos="1040"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Additional Agreements by Employee</w:t>
      </w:r>
      <w:r>
        <w:rPr>
          <w:rFonts w:ascii="Arial" w:cs="Arial" w:eastAsia="Arial" w:hAnsi="Arial"/>
          <w:sz w:val="22"/>
          <w:szCs w:val="22"/>
          <w:b w:val="1"/>
          <w:bCs w:val="1"/>
          <w:color w:val="auto"/>
        </w:rPr>
        <w:t>.</w:t>
      </w:r>
    </w:p>
    <w:p>
      <w:pPr>
        <w:spacing w:after="0" w:line="212" w:lineRule="exact"/>
        <w:rPr>
          <w:sz w:val="20"/>
          <w:szCs w:val="20"/>
          <w:color w:val="auto"/>
        </w:rPr>
      </w:pPr>
    </w:p>
    <w:p>
      <w:pPr>
        <w:ind w:left="1300" w:hanging="644"/>
        <w:spacing w:after="0" w:line="216" w:lineRule="auto"/>
        <w:tabs>
          <w:tab w:leader="none" w:pos="114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BY SIGNING THIS AGREEMENT YOU ARE KNOWINGLY AND VOLUNTARILY WAIVING ANY RIGHTS (KNOWN OR UNKNOWN) TO BRING OR PROSECUTE A LAWSUIT OR MAKE ANY LEGAL CLAIM AGAINST THE RELEASED PARTIES WITH RESPECT TO ANY OF THE CLAIMS DESCRIBED ABOVE IN SECTION 4. You agree that the release set forth above will bar all claims or demands of every kind, known or unknown, referred to above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009" w:right="339" w:bottom="1440" w:gutter="0" w:footer="0" w:header="0"/>
        </w:sectPr>
      </w:pPr>
    </w:p>
    <w:bookmarkStart w:id="198" w:name="page199"/>
    <w:bookmarkEnd w:id="198"/>
    <w:p>
      <w:pPr>
        <w:jc w:val="both"/>
        <w:ind w:left="644"/>
        <w:spacing w:after="0"/>
        <w:rPr>
          <w:sz w:val="20"/>
          <w:szCs w:val="20"/>
          <w:color w:val="auto"/>
        </w:rPr>
      </w:pPr>
      <w:r>
        <w:rPr>
          <w:rFonts w:ascii="Arial" w:cs="Arial" w:eastAsia="Arial" w:hAnsi="Arial"/>
          <w:sz w:val="19"/>
          <w:szCs w:val="19"/>
          <w:color w:val="auto"/>
        </w:rPr>
        <w:t>Section 4 and further agree that no non-governmental person, organization or other entity acting on your behalf has in the past or will in the future file any lawsuit, arbitration or proceeding asserting any claim that is waived or released under this Agreement. If you break this promise and file a lawsuit, arbitration or other proceeding asserting any Claim waived in this Agreement, (i) you will pay for all costs, including reasonable attorneys’ fees, incurred by the Released Parties in defending against such Claim (unless such Claim is a charge with the Equal Employment Opportunity Commission or the National Labor Relations Board); (ii) you give up any right to individual damages in connection with any administrative, arbitration or court proceeding with respect to your employment with and/or termination from employment with the Company, including damages, reinstatement or attorneys' fees; and (iii) if you are awarded money damages, you will assign to the Released Parties your right and interest to all such money damages.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Company or any other Released Party is a party. Furthermore, if you are made a member of a class or collective action in any proceeding without your prior knowledge or consent, you agree to opt out of the class or collective action at the first opportunity. Notwithstanding the foregoing, this Section 5 does not limit your right to challenge the validity of this Agreement in a legal proceeding under the Older Workers Benefit Protection Act, 29 U.S.C. § 626(f), with respect to claims under the ADEA. This Section also is not intended to and shall not limit the right of a court to determine, in its discretion, that the Company is entitled to restitution, recoupment or setoff of any payments made to you by the Company should this Agreement be found to be invalid as to the release of claims under the ADEA.</w:t>
      </w:r>
    </w:p>
    <w:p>
      <w:pPr>
        <w:spacing w:after="0" w:line="196" w:lineRule="exact"/>
        <w:rPr>
          <w:sz w:val="20"/>
          <w:szCs w:val="20"/>
          <w:color w:val="auto"/>
        </w:rPr>
      </w:pPr>
    </w:p>
    <w:p>
      <w:pPr>
        <w:ind w:left="644" w:hanging="644"/>
        <w:spacing w:after="0" w:line="224" w:lineRule="auto"/>
        <w:tabs>
          <w:tab w:leader="none" w:pos="473" w:val="left"/>
        </w:tabs>
        <w:numPr>
          <w:ilvl w:val="0"/>
          <w:numId w:val="112"/>
        </w:numPr>
        <w:rPr>
          <w:rFonts w:ascii="Arial" w:cs="Arial" w:eastAsia="Arial" w:hAnsi="Arial"/>
          <w:sz w:val="21"/>
          <w:szCs w:val="21"/>
          <w:color w:val="auto"/>
        </w:rPr>
      </w:pPr>
      <w:r>
        <w:rPr>
          <w:rFonts w:ascii="Arial" w:cs="Arial" w:eastAsia="Arial" w:hAnsi="Arial"/>
          <w:sz w:val="21"/>
          <w:szCs w:val="21"/>
          <w:color w:val="auto"/>
        </w:rPr>
        <w:t>You agree that you shall not solicit, encourage, assist or participate (directly or indirectly) in bringing any Claims or actions against any of the Released Parties by other current or former employees, officers or third parties, except as compelled by subpoena or other court order or legal process, and only after providing the Company with prior notice of any such subpoena, order or legal process and an opportunity to timely contest such process. Notwithstanding the foregoing, nothing in this Agreement shall preclude you from making truthful statements that are required by applicable law, regulation or legal process.</w:t>
      </w:r>
    </w:p>
    <w:p>
      <w:pPr>
        <w:spacing w:after="0" w:line="186" w:lineRule="exact"/>
        <w:rPr>
          <w:rFonts w:ascii="Arial" w:cs="Arial" w:eastAsia="Arial" w:hAnsi="Arial"/>
          <w:sz w:val="21"/>
          <w:szCs w:val="21"/>
          <w:color w:val="auto"/>
        </w:rPr>
      </w:pPr>
    </w:p>
    <w:p>
      <w:pPr>
        <w:ind w:left="644" w:hanging="644"/>
        <w:spacing w:after="0" w:line="212" w:lineRule="auto"/>
        <w:tabs>
          <w:tab w:leader="none" w:pos="46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You represent and warrant that you have not filed any administrative, judicial or other form of complaint or initiated any claim, charge, complaint or formal legal proceeding, nor are you a party to any such claim, against any of the Released Parties, and that you will not make such a filing at any time hereafter based on any events or omissions occurring prior to the date of execution of this Agreement. You understand and agree that this Agreement will be pleaded as a full and complete defense to any action, suit or proceeding which is or may be instituted, prosecuted or maintained by you, your agents, assignees, attorneys, heirs, executors, administrators and anyone else claiming by or through you.</w:t>
      </w:r>
    </w:p>
    <w:p>
      <w:pPr>
        <w:spacing w:after="0" w:line="190" w:lineRule="exact"/>
        <w:rPr>
          <w:rFonts w:ascii="Arial" w:cs="Arial" w:eastAsia="Arial" w:hAnsi="Arial"/>
          <w:sz w:val="22"/>
          <w:szCs w:val="22"/>
          <w:color w:val="auto"/>
        </w:rPr>
      </w:pPr>
    </w:p>
    <w:p>
      <w:pPr>
        <w:ind w:left="644" w:hanging="644"/>
        <w:spacing w:after="0" w:line="232" w:lineRule="auto"/>
        <w:tabs>
          <w:tab w:leader="none" w:pos="51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You agree to cooperate with Company and take all necessary steps to effectuate this Agreement, each of its terms and the intent of the parties.</w:t>
      </w:r>
    </w:p>
    <w:p>
      <w:pPr>
        <w:spacing w:after="0" w:line="180" w:lineRule="exact"/>
        <w:rPr>
          <w:sz w:val="20"/>
          <w:szCs w:val="20"/>
          <w:color w:val="auto"/>
        </w:rPr>
      </w:pPr>
    </w:p>
    <w:p>
      <w:pPr>
        <w:ind w:left="384" w:hanging="384"/>
        <w:spacing w:after="0"/>
        <w:tabs>
          <w:tab w:leader="none" w:pos="384" w:val="left"/>
        </w:tabs>
        <w:numPr>
          <w:ilvl w:val="0"/>
          <w:numId w:val="113"/>
        </w:numPr>
        <w:rPr>
          <w:rFonts w:ascii="Arial" w:cs="Arial" w:eastAsia="Arial" w:hAnsi="Arial"/>
          <w:sz w:val="22"/>
          <w:szCs w:val="22"/>
          <w:color w:val="auto"/>
        </w:rPr>
      </w:pPr>
      <w:r>
        <w:rPr>
          <w:rFonts w:ascii="Arial" w:cs="Arial" w:eastAsia="Arial" w:hAnsi="Arial"/>
          <w:sz w:val="22"/>
          <w:szCs w:val="22"/>
          <w:b w:val="1"/>
          <w:bCs w:val="1"/>
          <w:u w:val="single" w:color="auto"/>
          <w:color w:val="auto"/>
        </w:rPr>
        <w:t>Affirmations</w:t>
      </w:r>
      <w:r>
        <w:rPr>
          <w:rFonts w:ascii="Arial" w:cs="Arial" w:eastAsia="Arial" w:hAnsi="Arial"/>
          <w:sz w:val="22"/>
          <w:szCs w:val="22"/>
          <w:color w:val="auto"/>
        </w:rPr>
        <w:t>. In signing this Agreement, you are affirming that: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4" w:lineRule="exact"/>
        <w:rPr>
          <w:rFonts w:ascii="Arial" w:cs="Arial" w:eastAsia="Arial" w:hAnsi="Arial"/>
          <w:sz w:val="22"/>
          <w:szCs w:val="22"/>
          <w:color w:val="auto"/>
        </w:rPr>
      </w:pPr>
    </w:p>
    <w:p>
      <w:pPr>
        <w:ind w:left="4924"/>
        <w:spacing w:after="0"/>
        <w:rPr>
          <w:rFonts w:ascii="Arial" w:cs="Arial" w:eastAsia="Arial" w:hAnsi="Arial"/>
          <w:sz w:val="22"/>
          <w:szCs w:val="22"/>
          <w:color w:val="auto"/>
        </w:rPr>
      </w:pPr>
      <w:r>
        <w:rPr>
          <w:rFonts w:ascii="Arial" w:cs="Arial" w:eastAsia="Arial" w:hAnsi="Arial"/>
          <w:sz w:val="22"/>
          <w:szCs w:val="22"/>
          <w:color w:val="auto"/>
        </w:rPr>
        <w:t>6</w:t>
      </w:r>
    </w:p>
    <w:p>
      <w:pPr>
        <w:sectPr>
          <w:pgSz w:w="11900" w:h="16838" w:orient="portrait"/>
          <w:cols w:equalWidth="0" w:num="1">
            <w:col w:w="10584"/>
          </w:cols>
          <w:pgMar w:left="976" w:top="1009" w:right="339" w:bottom="1440" w:gutter="0" w:footer="0" w:header="0"/>
        </w:sectPr>
      </w:pPr>
    </w:p>
    <w:bookmarkStart w:id="199" w:name="page200"/>
    <w:bookmarkEnd w:id="199"/>
    <w:p>
      <w:pPr>
        <w:ind w:left="1300" w:hanging="644"/>
        <w:spacing w:after="0" w:line="218" w:lineRule="auto"/>
        <w:tabs>
          <w:tab w:leader="none" w:pos="1134" w:val="left"/>
        </w:tabs>
        <w:numPr>
          <w:ilvl w:val="2"/>
          <w:numId w:val="114"/>
        </w:numPr>
        <w:rPr>
          <w:rFonts w:ascii="Arial" w:cs="Arial" w:eastAsia="Arial" w:hAnsi="Arial"/>
          <w:sz w:val="22"/>
          <w:szCs w:val="22"/>
          <w:color w:val="auto"/>
        </w:rPr>
      </w:pPr>
      <w:r>
        <w:rPr>
          <w:rFonts w:ascii="Arial" w:cs="Arial" w:eastAsia="Arial" w:hAnsi="Arial"/>
          <w:sz w:val="22"/>
          <w:szCs w:val="22"/>
          <w:color w:val="auto"/>
        </w:rPr>
        <w:t>You have been paid and/or have received all compensation, wages, bonuses, commissions, and/or benefits to which you may be entitled (except as set forth in this Agreement). You affirm that you have been granted or not been denied any leave to which you were entitled under the Family and Medical Leave Act or related state or local leave or disability accommodation laws;</w:t>
      </w:r>
    </w:p>
    <w:p>
      <w:pPr>
        <w:spacing w:after="0" w:line="187" w:lineRule="exact"/>
        <w:rPr>
          <w:rFonts w:ascii="Arial" w:cs="Arial" w:eastAsia="Arial" w:hAnsi="Arial"/>
          <w:sz w:val="22"/>
          <w:szCs w:val="22"/>
          <w:color w:val="auto"/>
        </w:rPr>
      </w:pPr>
    </w:p>
    <w:p>
      <w:pPr>
        <w:ind w:left="1300" w:hanging="644"/>
        <w:spacing w:after="0" w:line="232" w:lineRule="auto"/>
        <w:tabs>
          <w:tab w:leader="none" w:pos="1266" w:val="left"/>
        </w:tabs>
        <w:numPr>
          <w:ilvl w:val="2"/>
          <w:numId w:val="114"/>
        </w:numPr>
        <w:rPr>
          <w:rFonts w:ascii="Arial" w:cs="Arial" w:eastAsia="Arial" w:hAnsi="Arial"/>
          <w:sz w:val="22"/>
          <w:szCs w:val="22"/>
          <w:color w:val="auto"/>
        </w:rPr>
      </w:pPr>
      <w:r>
        <w:rPr>
          <w:rFonts w:ascii="Arial" w:cs="Arial" w:eastAsia="Arial" w:hAnsi="Arial"/>
          <w:sz w:val="22"/>
          <w:szCs w:val="22"/>
          <w:color w:val="auto"/>
        </w:rPr>
        <w:t>You are not eligible to receive payments or benefits under any other Company and/or other Released Party’s severance pay policy, plan, practice or arrangement;</w:t>
      </w:r>
    </w:p>
    <w:p>
      <w:pPr>
        <w:spacing w:after="0" w:line="185" w:lineRule="exact"/>
        <w:rPr>
          <w:rFonts w:ascii="Arial" w:cs="Arial" w:eastAsia="Arial" w:hAnsi="Arial"/>
          <w:sz w:val="22"/>
          <w:szCs w:val="22"/>
          <w:color w:val="auto"/>
        </w:rPr>
      </w:pPr>
    </w:p>
    <w:p>
      <w:pPr>
        <w:ind w:left="1100" w:hanging="444"/>
        <w:spacing w:after="0"/>
        <w:tabs>
          <w:tab w:leader="none" w:pos="1100" w:val="left"/>
        </w:tabs>
        <w:numPr>
          <w:ilvl w:val="2"/>
          <w:numId w:val="114"/>
        </w:numPr>
        <w:rPr>
          <w:rFonts w:ascii="Arial" w:cs="Arial" w:eastAsia="Arial" w:hAnsi="Arial"/>
          <w:sz w:val="22"/>
          <w:szCs w:val="22"/>
          <w:color w:val="auto"/>
        </w:rPr>
      </w:pPr>
      <w:r>
        <w:rPr>
          <w:rFonts w:ascii="Arial" w:cs="Arial" w:eastAsia="Arial" w:hAnsi="Arial"/>
          <w:sz w:val="22"/>
          <w:szCs w:val="22"/>
          <w:color w:val="auto"/>
        </w:rPr>
        <w:t>You have no known workplace injuries or occupational diseases;</w:t>
      </w:r>
    </w:p>
    <w:p>
      <w:pPr>
        <w:spacing w:after="0" w:line="206" w:lineRule="exact"/>
        <w:rPr>
          <w:rFonts w:ascii="Arial" w:cs="Arial" w:eastAsia="Arial" w:hAnsi="Arial"/>
          <w:sz w:val="22"/>
          <w:szCs w:val="22"/>
          <w:color w:val="auto"/>
        </w:rPr>
      </w:pPr>
    </w:p>
    <w:p>
      <w:pPr>
        <w:ind w:left="1300" w:hanging="644"/>
        <w:spacing w:after="0" w:line="224" w:lineRule="auto"/>
        <w:tabs>
          <w:tab w:leader="none" w:pos="1175" w:val="left"/>
        </w:tabs>
        <w:numPr>
          <w:ilvl w:val="2"/>
          <w:numId w:val="114"/>
        </w:numPr>
        <w:rPr>
          <w:rFonts w:ascii="Arial" w:cs="Arial" w:eastAsia="Arial" w:hAnsi="Arial"/>
          <w:sz w:val="21"/>
          <w:szCs w:val="21"/>
          <w:color w:val="auto"/>
        </w:rPr>
      </w:pPr>
      <w:r>
        <w:rPr>
          <w:rFonts w:ascii="Arial" w:cs="Arial" w:eastAsia="Arial" w:hAnsi="Arial"/>
          <w:sz w:val="21"/>
          <w:szCs w:val="21"/>
          <w:color w:val="auto"/>
        </w:rPr>
        <w:t>You have not complained of and you are not aware of any fraudulent activity or any act(s) which would form the basis of a claim of fraudulent or illegal activity by the Company or any other Released Party that you have not reported to the Company in writing. You also affirm that you have not been retaliated against for reporting any allegations of wrongdoing by any Released Party, including any allegations of corporate fraud. Both parties acknowledge that this Agreement does not limit either party’s right, where applicable, to file or to participate in an investigative proceeding of any federal, state or local governmental agency;</w:t>
      </w:r>
    </w:p>
    <w:p>
      <w:pPr>
        <w:spacing w:after="0" w:line="186" w:lineRule="exact"/>
        <w:rPr>
          <w:rFonts w:ascii="Arial" w:cs="Arial" w:eastAsia="Arial" w:hAnsi="Arial"/>
          <w:sz w:val="21"/>
          <w:szCs w:val="21"/>
          <w:color w:val="auto"/>
        </w:rPr>
      </w:pPr>
    </w:p>
    <w:p>
      <w:pPr>
        <w:ind w:left="1300" w:hanging="1062"/>
        <w:spacing w:after="0" w:line="223" w:lineRule="auto"/>
        <w:tabs>
          <w:tab w:leader="none" w:pos="69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You acknowledge and agree that all of the Company’s decisions regarding your pay and benefits through the date of your execution of this Agreement were not discriminatory based on age, disability, race, color, sex, religion, national origin, or any other classification protected by law;</w:t>
      </w:r>
    </w:p>
    <w:p>
      <w:pPr>
        <w:spacing w:after="0" w:line="185" w:lineRule="exact"/>
        <w:rPr>
          <w:rFonts w:ascii="Arial" w:cs="Arial" w:eastAsia="Arial" w:hAnsi="Arial"/>
          <w:sz w:val="22"/>
          <w:szCs w:val="22"/>
          <w:color w:val="auto"/>
        </w:rPr>
      </w:pPr>
    </w:p>
    <w:p>
      <w:pPr>
        <w:ind w:left="1300" w:hanging="644"/>
        <w:spacing w:after="0" w:line="257" w:lineRule="auto"/>
        <w:tabs>
          <w:tab w:leader="none" w:pos="1111" w:val="left"/>
        </w:tabs>
        <w:numPr>
          <w:ilvl w:val="2"/>
          <w:numId w:val="115"/>
        </w:numPr>
        <w:rPr>
          <w:rFonts w:ascii="Arial" w:cs="Arial" w:eastAsia="Arial" w:hAnsi="Arial"/>
          <w:sz w:val="19"/>
          <w:szCs w:val="19"/>
          <w:color w:val="auto"/>
        </w:rPr>
      </w:pPr>
      <w:r>
        <w:rPr>
          <w:rFonts w:ascii="Arial" w:cs="Arial" w:eastAsia="Arial" w:hAnsi="Arial"/>
          <w:sz w:val="19"/>
          <w:szCs w:val="19"/>
          <w:color w:val="auto"/>
        </w:rPr>
        <w:t>On or about the Separation Date, or within a reasonable time thereafter, the Company provided you with timely and adequate notice of your right to continue group insurance benefits under COBRA (unless such notice was not required to be given because, on the day before termination, you did not receive group health insurance benefits through the Company and thus are not a qualified beneficiary within the meaning of COBRA); and</w:t>
      </w:r>
    </w:p>
    <w:p>
      <w:pPr>
        <w:spacing w:after="0" w:line="171" w:lineRule="exact"/>
        <w:rPr>
          <w:rFonts w:ascii="Arial" w:cs="Arial" w:eastAsia="Arial" w:hAnsi="Arial"/>
          <w:sz w:val="19"/>
          <w:szCs w:val="19"/>
          <w:color w:val="auto"/>
        </w:rPr>
      </w:pPr>
    </w:p>
    <w:p>
      <w:pPr>
        <w:jc w:val="both"/>
        <w:ind w:left="1300" w:hanging="644"/>
        <w:spacing w:after="0" w:line="246" w:lineRule="auto"/>
        <w:tabs>
          <w:tab w:leader="none" w:pos="1233" w:val="left"/>
        </w:tabs>
        <w:numPr>
          <w:ilvl w:val="2"/>
          <w:numId w:val="115"/>
        </w:numPr>
        <w:rPr>
          <w:rFonts w:ascii="Arial" w:cs="Arial" w:eastAsia="Arial" w:hAnsi="Arial"/>
          <w:sz w:val="19"/>
          <w:szCs w:val="19"/>
          <w:color w:val="auto"/>
        </w:rPr>
      </w:pPr>
      <w:r>
        <w:rPr>
          <w:rFonts w:ascii="Arial" w:cs="Arial" w:eastAsia="Arial" w:hAnsi="Arial"/>
          <w:sz w:val="19"/>
          <w:szCs w:val="19"/>
          <w:color w:val="auto"/>
        </w:rPr>
        <w:t>You acknowledge and agree that if you breach the provisions of this Agreement (including, but not limited to, Section 8 or the provisions of the Employment Agreement which survive), that the Company will have the right to seek an appropriate remedy against you, which may include, but not be limited to, injunctive relief, the return of the Severance Benefits, other monetary damages, and the payment of the Company’s attorneys’ fees. Additionally, if you breach this Agreement, Company shall have the right, without waiving any other remedies in law or equity, to cease any further payments pursuant to Section 2. Notwithstanding such cessation of payments, all of your obligations hereunder shall be continuing and enforceable including but not limited to your release of claims, and the Company shall be entitled to pursue all remedies against you available at law or in equity for such breach.</w:t>
      </w:r>
    </w:p>
    <w:p>
      <w:pPr>
        <w:spacing w:after="0" w:line="173" w:lineRule="exact"/>
        <w:rPr>
          <w:rFonts w:ascii="Arial" w:cs="Arial" w:eastAsia="Arial" w:hAnsi="Arial"/>
          <w:sz w:val="19"/>
          <w:szCs w:val="19"/>
          <w:color w:val="auto"/>
        </w:rPr>
      </w:pPr>
    </w:p>
    <w:p>
      <w:pPr>
        <w:jc w:val="both"/>
        <w:ind w:firstLine="366"/>
        <w:spacing w:after="0" w:line="259" w:lineRule="auto"/>
        <w:tabs>
          <w:tab w:leader="none" w:pos="877" w:val="left"/>
        </w:tabs>
        <w:numPr>
          <w:ilvl w:val="1"/>
          <w:numId w:val="115"/>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 You agree that it is a material condition of this Agreement that you shall keep the terms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strictly and completely confidential and that you will not directly or indirectly make or issue any private statement, press release or public statement, or communicate or otherwise disclose to any employee of the Company (past, present or future) or to a member of the general public, the negotiations leading to, or the terms, amounts or facts of or underlying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252" w:right="339" w:bottom="1440" w:gutter="0" w:footer="0" w:header="0"/>
        </w:sectPr>
      </w:pPr>
    </w:p>
    <w:bookmarkStart w:id="200" w:name="page201"/>
    <w:bookmarkEnd w:id="200"/>
    <w:p>
      <w:pPr>
        <w:jc w:val="both"/>
        <w:spacing w:after="0" w:line="223" w:lineRule="auto"/>
        <w:rPr>
          <w:sz w:val="20"/>
          <w:szCs w:val="20"/>
          <w:color w:val="auto"/>
        </w:rPr>
      </w:pPr>
      <w:r>
        <w:rPr>
          <w:rFonts w:ascii="Arial" w:cs="Arial" w:eastAsia="Arial" w:hAnsi="Arial"/>
          <w:sz w:val="22"/>
          <w:szCs w:val="22"/>
          <w:color w:val="auto"/>
        </w:rPr>
        <w:t>Agreement, except as may be required by law or compulsory process; provided, however, that you may disclose the terms of this Agreement to your immediate family, attorneys, and accountants or other financial advisors so long as they agree to abide by the foregoing confidentiality restriction.</w:t>
      </w:r>
    </w:p>
    <w:p>
      <w:pPr>
        <w:spacing w:after="0" w:line="180" w:lineRule="exact"/>
        <w:rPr>
          <w:sz w:val="20"/>
          <w:szCs w:val="20"/>
          <w:color w:val="auto"/>
        </w:rPr>
      </w:pPr>
    </w:p>
    <w:p>
      <w:pPr>
        <w:jc w:val="both"/>
        <w:ind w:firstLine="656"/>
        <w:spacing w:after="0" w:line="215" w:lineRule="auto"/>
        <w:tabs>
          <w:tab w:leader="none" w:pos="1026" w:val="left"/>
        </w:tabs>
        <w:numPr>
          <w:ilvl w:val="0"/>
          <w:numId w:val="116"/>
        </w:numPr>
        <w:rPr>
          <w:rFonts w:ascii="Arial" w:cs="Arial" w:eastAsia="Arial" w:hAnsi="Arial"/>
          <w:sz w:val="22"/>
          <w:szCs w:val="22"/>
          <w:color w:val="auto"/>
        </w:rPr>
      </w:pPr>
      <w:r>
        <w:rPr>
          <w:rFonts w:ascii="Arial" w:cs="Arial" w:eastAsia="Arial" w:hAnsi="Arial"/>
          <w:sz w:val="22"/>
          <w:szCs w:val="22"/>
          <w:b w:val="1"/>
          <w:bCs w:val="1"/>
          <w:u w:val="single" w:color="auto"/>
          <w:color w:val="auto"/>
        </w:rPr>
        <w:t>Return of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You agree that no later than your last day of employment with the Company, you will return any</w:t>
      </w:r>
      <w:r>
        <w:rPr>
          <w:rFonts w:ascii="Arial" w:cs="Arial" w:eastAsia="Arial" w:hAnsi="Arial"/>
          <w:sz w:val="22"/>
          <w:szCs w:val="22"/>
          <w:b w:val="1"/>
          <w:bCs w:val="1"/>
          <w:color w:val="auto"/>
        </w:rPr>
        <w:t xml:space="preserve"> </w:t>
      </w:r>
      <w:r>
        <w:rPr>
          <w:rFonts w:ascii="Arial" w:cs="Arial" w:eastAsia="Arial" w:hAnsi="Arial"/>
          <w:sz w:val="22"/>
          <w:szCs w:val="22"/>
          <w:color w:val="auto"/>
        </w:rPr>
        <w:t>and all property, including all copies or duplicates thereof, belonging to the Company, including but not limited to keys, key cards, security cards, identification badges, records, papers, files, blueprints, documents, equipment, phone, computer equipment and software, computer disks, thumb drives, supplies, customer or client lists and customer or client information, and all copies thereof and any other Company property under your control. You will also sign a Declaration that you have complied with this obligation.</w:t>
      </w:r>
    </w:p>
    <w:p>
      <w:pPr>
        <w:spacing w:after="0" w:line="179" w:lineRule="exact"/>
        <w:rPr>
          <w:rFonts w:ascii="Arial" w:cs="Arial" w:eastAsia="Arial" w:hAnsi="Arial"/>
          <w:sz w:val="22"/>
          <w:szCs w:val="22"/>
          <w:color w:val="auto"/>
        </w:rPr>
      </w:pPr>
    </w:p>
    <w:p>
      <w:pPr>
        <w:jc w:val="both"/>
        <w:ind w:firstLine="656"/>
        <w:spacing w:after="0" w:line="254" w:lineRule="auto"/>
        <w:tabs>
          <w:tab w:leader="none" w:pos="1066" w:val="left"/>
        </w:tabs>
        <w:numPr>
          <w:ilvl w:val="0"/>
          <w:numId w:val="116"/>
        </w:numPr>
        <w:rPr>
          <w:rFonts w:ascii="Arial" w:cs="Arial" w:eastAsia="Arial" w:hAnsi="Arial"/>
          <w:sz w:val="19"/>
          <w:szCs w:val="19"/>
          <w:color w:val="auto"/>
        </w:rPr>
      </w:pPr>
      <w:r>
        <w:rPr>
          <w:rFonts w:ascii="Arial" w:cs="Arial" w:eastAsia="Arial" w:hAnsi="Arial"/>
          <w:sz w:val="19"/>
          <w:szCs w:val="19"/>
          <w:b w:val="1"/>
          <w:bCs w:val="1"/>
          <w:u w:val="single" w:color="auto"/>
          <w:color w:val="auto"/>
        </w:rPr>
        <w:t>Non-Admission of Wrongdoing</w:t>
      </w:r>
      <w:r>
        <w:rPr>
          <w:rFonts w:ascii="Arial" w:cs="Arial" w:eastAsia="Arial" w:hAnsi="Arial"/>
          <w:sz w:val="19"/>
          <w:szCs w:val="19"/>
          <w:color w:val="auto"/>
        </w:rPr>
        <w:t>. You and the Company agree that neither this Agreement nor the furnishing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for this Agreement shall be deemed or construed at anytime for any purpose as an admission by any of the Released Parties of any liability, wrongdoing, or unlawful conduct of any kind, and the Released Parties do specifically deny, any violation of any local, state, federal, or other law, whether regulatory, common or statutory. Additionally, this Agreement, its existence or its terms will not be admissible in any proceeding other than a proceeding to enforce the terms of this Agreement.</w:t>
      </w:r>
    </w:p>
    <w:p>
      <w:pPr>
        <w:spacing w:after="0" w:line="166" w:lineRule="exact"/>
        <w:rPr>
          <w:rFonts w:ascii="Arial" w:cs="Arial" w:eastAsia="Arial" w:hAnsi="Arial"/>
          <w:sz w:val="19"/>
          <w:szCs w:val="19"/>
          <w:color w:val="auto"/>
        </w:rPr>
      </w:pPr>
    </w:p>
    <w:p>
      <w:pPr>
        <w:ind w:firstLine="656"/>
        <w:spacing w:after="0" w:line="235" w:lineRule="auto"/>
        <w:tabs>
          <w:tab w:leader="none" w:pos="1161" w:val="left"/>
        </w:tabs>
        <w:numPr>
          <w:ilvl w:val="0"/>
          <w:numId w:val="116"/>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You understand and agree that this Agreement may not be modified, altered or changed except upon</w:t>
      </w:r>
      <w:r>
        <w:rPr>
          <w:rFonts w:ascii="Arial" w:cs="Arial" w:eastAsia="Arial" w:hAnsi="Arial"/>
          <w:sz w:val="22"/>
          <w:szCs w:val="22"/>
          <w:b w:val="1"/>
          <w:bCs w:val="1"/>
          <w:color w:val="auto"/>
        </w:rPr>
        <w:t xml:space="preserve"> </w:t>
      </w:r>
      <w:r>
        <w:rPr>
          <w:rFonts w:ascii="Arial" w:cs="Arial" w:eastAsia="Arial" w:hAnsi="Arial"/>
          <w:sz w:val="22"/>
          <w:szCs w:val="22"/>
          <w:color w:val="auto"/>
        </w:rPr>
        <w:t>express written consent of both parties wherein specific reference is made to this Agreement.</w:t>
      </w:r>
    </w:p>
    <w:p>
      <w:pPr>
        <w:spacing w:after="0" w:line="179" w:lineRule="exact"/>
        <w:rPr>
          <w:rFonts w:ascii="Arial" w:cs="Arial" w:eastAsia="Arial" w:hAnsi="Arial"/>
          <w:sz w:val="22"/>
          <w:szCs w:val="22"/>
          <w:color w:val="auto"/>
        </w:rPr>
      </w:pPr>
    </w:p>
    <w:p>
      <w:pPr>
        <w:jc w:val="both"/>
        <w:ind w:firstLine="656"/>
        <w:spacing w:after="0" w:line="222" w:lineRule="auto"/>
        <w:tabs>
          <w:tab w:leader="none" w:pos="1139" w:val="left"/>
        </w:tabs>
        <w:numPr>
          <w:ilvl w:val="0"/>
          <w:numId w:val="116"/>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 Waiver</w:t>
      </w:r>
      <w:r>
        <w:rPr>
          <w:rFonts w:ascii="Arial" w:cs="Arial" w:eastAsia="Arial" w:hAnsi="Arial"/>
          <w:sz w:val="21"/>
          <w:szCs w:val="21"/>
          <w:color w:val="auto"/>
        </w:rPr>
        <w:t>. You understand and agree that this Agreement sets forth the entire agreement between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you and the Company concerning the subject matter herein, and that it fully supersedes any prior obligation of the Company to you, as well as any agreements between you and the Company, other than any agreements relating to equity, inventions, intellectual property, confidentiality, non-competition and/or non-solicitation, including those set forth in your Employment Agreement, and all other provisions of the Employment Agreement designed to survive the termination of your employment with Company </w:t>
      </w:r>
      <w:r>
        <w:rPr>
          <w:rFonts w:ascii="Arial" w:cs="Arial" w:eastAsia="Arial" w:hAnsi="Arial"/>
          <w:sz w:val="21"/>
          <w:szCs w:val="21"/>
          <w:b w:val="1"/>
          <w:bCs w:val="1"/>
          <w:color w:val="auto"/>
        </w:rPr>
        <w:t>including, but not limited to, Sections 4(h), 4(i) and Sections 5.1, 5.2, 5.3, 5.4 and 5.8</w:t>
      </w:r>
      <w:r>
        <w:rPr>
          <w:rFonts w:ascii="Arial" w:cs="Arial" w:eastAsia="Arial" w:hAnsi="Arial"/>
          <w:sz w:val="21"/>
          <w:szCs w:val="21"/>
          <w:color w:val="auto"/>
        </w:rPr>
        <w:t>. You acknowledge and affirm that you have not relied on any representations, promises, or agreements of any kind made to you in connection with your decision to accept this Agreement, except for those that are set forth in this Agreement. One or more waivers of a breach of any covenant, term or provision of this Agreement by any party shall not be construed as a waiver of a subsequent breach of the same covenant, term or provision, nor shall it be considered a waiver of any other then existing or subsequent breach of a different covenant, term or provision.</w:t>
      </w:r>
    </w:p>
    <w:p>
      <w:pPr>
        <w:spacing w:after="0" w:line="215" w:lineRule="exact"/>
        <w:rPr>
          <w:rFonts w:ascii="Arial" w:cs="Arial" w:eastAsia="Arial" w:hAnsi="Arial"/>
          <w:sz w:val="21"/>
          <w:szCs w:val="21"/>
          <w:color w:val="auto"/>
        </w:rPr>
      </w:pPr>
    </w:p>
    <w:p>
      <w:pPr>
        <w:jc w:val="both"/>
        <w:ind w:firstLine="656"/>
        <w:spacing w:after="0" w:line="225" w:lineRule="auto"/>
        <w:tabs>
          <w:tab w:leader="none" w:pos="1291" w:val="left"/>
        </w:tabs>
        <w:numPr>
          <w:ilvl w:val="0"/>
          <w:numId w:val="116"/>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 to Consider, Rescind and Revoke Acceptance</w:t>
      </w:r>
      <w:r>
        <w:rPr>
          <w:rFonts w:ascii="Arial" w:cs="Arial" w:eastAsia="Arial" w:hAnsi="Arial"/>
          <w:sz w:val="22"/>
          <w:szCs w:val="22"/>
          <w:color w:val="auto"/>
        </w:rPr>
        <w:t>. This Agreement is intended to comply with the Older</w:t>
      </w:r>
      <w:r>
        <w:rPr>
          <w:rFonts w:ascii="Arial" w:cs="Arial" w:eastAsia="Arial" w:hAnsi="Arial"/>
          <w:sz w:val="22"/>
          <w:szCs w:val="22"/>
          <w:b w:val="1"/>
          <w:bCs w:val="1"/>
          <w:color w:val="auto"/>
        </w:rPr>
        <w:t xml:space="preserve"> </w:t>
      </w:r>
      <w:r>
        <w:rPr>
          <w:rFonts w:ascii="Arial" w:cs="Arial" w:eastAsia="Arial" w:hAnsi="Arial"/>
          <w:sz w:val="22"/>
          <w:szCs w:val="22"/>
          <w:color w:val="auto"/>
        </w:rPr>
        <w:t>Workers Benefit Protection Act of 1990 with regard to your waiver of rights under the Age Discrimination in Employment Act. In signing this Agreement, you understand and agree that:</w:t>
      </w:r>
    </w:p>
    <w:p>
      <w:pPr>
        <w:spacing w:after="0" w:line="186" w:lineRule="exact"/>
        <w:rPr>
          <w:sz w:val="20"/>
          <w:szCs w:val="20"/>
          <w:color w:val="auto"/>
        </w:rPr>
      </w:pPr>
    </w:p>
    <w:p>
      <w:pPr>
        <w:ind w:left="1300" w:hanging="644"/>
        <w:spacing w:after="0" w:line="267" w:lineRule="auto"/>
        <w:tabs>
          <w:tab w:leader="none" w:pos="1128" w:val="left"/>
        </w:tabs>
        <w:numPr>
          <w:ilvl w:val="0"/>
          <w:numId w:val="117"/>
        </w:numPr>
        <w:rPr>
          <w:rFonts w:ascii="Arial" w:cs="Arial" w:eastAsia="Arial" w:hAnsi="Arial"/>
          <w:sz w:val="19"/>
          <w:szCs w:val="19"/>
          <w:color w:val="auto"/>
        </w:rPr>
      </w:pPr>
      <w:r>
        <w:rPr>
          <w:rFonts w:ascii="Arial" w:cs="Arial" w:eastAsia="Arial" w:hAnsi="Arial"/>
          <w:sz w:val="19"/>
          <w:szCs w:val="19"/>
          <w:color w:val="auto"/>
        </w:rPr>
        <w:t>You are specifically advised to consult with an attorney of your own choosing before you sign this Agreement, as it waives and releases rights you have or may have under federal, state and local law, including but not limited to the Age Discrimination in Employment Act. You acknowledge that you will bear all expenses incurred by you in the negotiation and preparation of this Agreement, and the Company will bear all fees incurred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009" w:right="339" w:bottom="1440" w:gutter="0" w:footer="0" w:header="0"/>
        </w:sectPr>
      </w:pPr>
    </w:p>
    <w:bookmarkStart w:id="201" w:name="page202"/>
    <w:bookmarkEnd w:id="201"/>
    <w:p>
      <w:pPr>
        <w:jc w:val="right"/>
        <w:ind w:left="1300" w:hanging="644"/>
        <w:spacing w:after="0" w:line="247" w:lineRule="auto"/>
        <w:tabs>
          <w:tab w:leader="none" w:pos="116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You will have up to twenty-one (21) calendar days from the Separation Date to decide whether to accept and sign this Agreement. In the event you do sign this Agreement, you may revoke or rescind your acceptance within seven</w:t>
      </w:r>
    </w:p>
    <w:p>
      <w:pPr>
        <w:jc w:val="both"/>
        <w:ind w:left="1300" w:right="20"/>
        <w:spacing w:after="0" w:line="228" w:lineRule="auto"/>
        <w:rPr>
          <w:rFonts w:ascii="Arial" w:cs="Arial" w:eastAsia="Arial" w:hAnsi="Arial"/>
          <w:sz w:val="19"/>
          <w:szCs w:val="19"/>
          <w:color w:val="auto"/>
        </w:rPr>
      </w:pPr>
      <w:r>
        <w:rPr>
          <w:rFonts w:ascii="Arial" w:cs="Arial" w:eastAsia="Arial" w:hAnsi="Arial"/>
          <w:sz w:val="19"/>
          <w:szCs w:val="19"/>
          <w:color w:val="auto"/>
        </w:rPr>
        <w:t>(7) calendar days of signing it, and it will not become effective or enforceable until the eighth (8</w:t>
      </w:r>
      <w:r>
        <w:rPr>
          <w:rFonts w:ascii="Arial" w:cs="Arial" w:eastAsia="Arial" w:hAnsi="Arial"/>
          <w:sz w:val="25"/>
          <w:szCs w:val="25"/>
          <w:color w:val="auto"/>
          <w:vertAlign w:val="superscript"/>
        </w:rPr>
        <w:t>th</w:t>
      </w:r>
      <w:r>
        <w:rPr>
          <w:rFonts w:ascii="Arial" w:cs="Arial" w:eastAsia="Arial" w:hAnsi="Arial"/>
          <w:sz w:val="19"/>
          <w:szCs w:val="19"/>
          <w:color w:val="auto"/>
        </w:rPr>
        <w:t>) day after you sign it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In order to effectively revoke or rescind your acceptance, the revocation or rescission must be in writing and postmarked within the seven (7) calendar day period, and properly addressed 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Scientific Games</w:t>
      </w:r>
    </w:p>
    <w:p>
      <w:pPr>
        <w:ind w:left="1520"/>
        <w:spacing w:after="0" w:line="204" w:lineRule="auto"/>
        <w:rPr>
          <w:sz w:val="20"/>
          <w:szCs w:val="20"/>
          <w:color w:val="auto"/>
        </w:rPr>
      </w:pPr>
      <w:r>
        <w:rPr>
          <w:rFonts w:ascii="Arial" w:cs="Arial" w:eastAsia="Arial" w:hAnsi="Arial"/>
          <w:sz w:val="22"/>
          <w:szCs w:val="22"/>
          <w:color w:val="auto"/>
        </w:rPr>
        <w:t>6601 Bermuda Road</w:t>
      </w:r>
    </w:p>
    <w:p>
      <w:pPr>
        <w:ind w:left="1520"/>
        <w:spacing w:after="0" w:line="205" w:lineRule="auto"/>
        <w:rPr>
          <w:sz w:val="20"/>
          <w:szCs w:val="20"/>
          <w:color w:val="auto"/>
        </w:rPr>
      </w:pPr>
      <w:r>
        <w:rPr>
          <w:rFonts w:ascii="Arial" w:cs="Arial" w:eastAsia="Arial" w:hAnsi="Arial"/>
          <w:sz w:val="22"/>
          <w:szCs w:val="22"/>
          <w:color w:val="auto"/>
        </w:rPr>
        <w:t>Las Vegas, NV 89119</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Attention: Legal Department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You acknowledge that if you do not accept this Agreement in the manner described above, it will be withdrawn</w:t>
      </w:r>
    </w:p>
    <w:p>
      <w:pPr>
        <w:spacing w:after="0" w:line="43" w:lineRule="exact"/>
        <w:rPr>
          <w:sz w:val="20"/>
          <w:szCs w:val="20"/>
          <w:color w:val="auto"/>
        </w:rPr>
      </w:pPr>
    </w:p>
    <w:p>
      <w:pPr>
        <w:jc w:val="both"/>
        <w:ind w:left="1300"/>
        <w:spacing w:after="0" w:line="211" w:lineRule="auto"/>
        <w:rPr>
          <w:sz w:val="20"/>
          <w:szCs w:val="20"/>
          <w:color w:val="auto"/>
        </w:rPr>
      </w:pPr>
      <w:r>
        <w:rPr>
          <w:rFonts w:ascii="Arial" w:cs="Arial" w:eastAsia="Arial" w:hAnsi="Arial"/>
          <w:sz w:val="22"/>
          <w:szCs w:val="22"/>
          <w:color w:val="auto"/>
        </w:rPr>
        <w:t>and of no effect. You acknowledge and agree that, if you revoke your acceptance of this Agreement, you shall receive none of the benefits provided hereunder and this Agreement shall be null and void, having have no further force or effect, and that said Agreement will not be admissible as evidence in any judicial, administrative or arbitral proceeding or trial. You further acknowledge that if the Agreement is not revoked in the time period set forth above, you shall have forever waived your right to revoke this Agreement, and it shall thereafter have full force and effect as of the Effective Date.</w:t>
      </w:r>
    </w:p>
    <w:p>
      <w:pPr>
        <w:spacing w:after="0" w:line="187" w:lineRule="exact"/>
        <w:rPr>
          <w:sz w:val="20"/>
          <w:szCs w:val="20"/>
          <w:color w:val="auto"/>
        </w:rPr>
      </w:pPr>
    </w:p>
    <w:p>
      <w:pPr>
        <w:ind w:left="1300" w:hanging="644"/>
        <w:spacing w:after="0" w:line="238" w:lineRule="auto"/>
        <w:tabs>
          <w:tab w:leader="none" w:pos="1297" w:val="left"/>
        </w:tabs>
        <w:numPr>
          <w:ilvl w:val="0"/>
          <w:numId w:val="119"/>
        </w:numPr>
        <w:rPr>
          <w:rFonts w:ascii="Arial" w:cs="Arial" w:eastAsia="Arial" w:hAnsi="Arial"/>
          <w:sz w:val="22"/>
          <w:szCs w:val="22"/>
          <w:color w:val="auto"/>
        </w:rPr>
      </w:pPr>
      <w:r>
        <w:rPr>
          <w:rFonts w:ascii="Arial" w:cs="Arial" w:eastAsia="Arial" w:hAnsi="Arial"/>
          <w:sz w:val="21"/>
          <w:szCs w:val="21"/>
          <w:color w:val="auto"/>
        </w:rPr>
        <w:t>Any and all questions regarding the terms of this Agreement have been asked and answered to your complete satisfaction.</w:t>
      </w:r>
    </w:p>
    <w:p>
      <w:pPr>
        <w:spacing w:after="0" w:line="184" w:lineRule="exact"/>
        <w:rPr>
          <w:rFonts w:ascii="Arial" w:cs="Arial" w:eastAsia="Arial" w:hAnsi="Arial"/>
          <w:sz w:val="22"/>
          <w:szCs w:val="22"/>
          <w:color w:val="auto"/>
        </w:rPr>
      </w:pPr>
    </w:p>
    <w:p>
      <w:pPr>
        <w:ind w:left="1300" w:right="20" w:hanging="644"/>
        <w:spacing w:after="0" w:line="232" w:lineRule="auto"/>
        <w:tabs>
          <w:tab w:leader="none" w:pos="119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You acknowledge that the consideration provided for hereunder is in addition to anything of value to which you already are entitled and the consideration provided for herein is good and valuable.</w:t>
      </w:r>
    </w:p>
    <w:p>
      <w:pPr>
        <w:spacing w:after="0" w:line="185" w:lineRule="exact"/>
        <w:rPr>
          <w:rFonts w:ascii="Arial" w:cs="Arial" w:eastAsia="Arial" w:hAnsi="Arial"/>
          <w:sz w:val="22"/>
          <w:szCs w:val="22"/>
          <w:color w:val="auto"/>
        </w:rPr>
      </w:pPr>
    </w:p>
    <w:p>
      <w:pPr>
        <w:ind w:left="1300" w:hanging="644"/>
        <w:spacing w:after="0" w:line="232" w:lineRule="auto"/>
        <w:tabs>
          <w:tab w:leader="none" w:pos="110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You are entering into this Agreement voluntarily, of your own free will, and without any coercion or undue influence of any kind or type whatsoever.</w:t>
      </w:r>
    </w:p>
    <w:p>
      <w:pPr>
        <w:spacing w:after="0" w:line="185" w:lineRule="exact"/>
        <w:rPr>
          <w:rFonts w:ascii="Arial" w:cs="Arial" w:eastAsia="Arial" w:hAnsi="Arial"/>
          <w:sz w:val="22"/>
          <w:szCs w:val="22"/>
          <w:color w:val="auto"/>
        </w:rPr>
      </w:pPr>
    </w:p>
    <w:p>
      <w:pPr>
        <w:ind w:left="1300" w:hanging="644"/>
        <w:spacing w:after="0" w:line="232" w:lineRule="auto"/>
        <w:tabs>
          <w:tab w:leader="none" w:pos="138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Any modifications of or revisions to this Agreement do not re-start the consideration period, described in paragraph(b) of this Section 12.</w:t>
      </w:r>
    </w:p>
    <w:p>
      <w:pPr>
        <w:spacing w:after="0" w:line="185" w:lineRule="exact"/>
        <w:rPr>
          <w:rFonts w:ascii="Arial" w:cs="Arial" w:eastAsia="Arial" w:hAnsi="Arial"/>
          <w:sz w:val="22"/>
          <w:szCs w:val="22"/>
          <w:color w:val="auto"/>
        </w:rPr>
      </w:pPr>
    </w:p>
    <w:p>
      <w:pPr>
        <w:ind w:left="1300" w:hanging="644"/>
        <w:spacing w:after="0" w:line="247" w:lineRule="auto"/>
        <w:tabs>
          <w:tab w:leader="none" w:pos="1182" w:val="left"/>
        </w:tabs>
        <w:numPr>
          <w:ilvl w:val="0"/>
          <w:numId w:val="119"/>
        </w:numPr>
        <w:rPr>
          <w:rFonts w:ascii="Arial" w:cs="Arial" w:eastAsia="Arial" w:hAnsi="Arial"/>
          <w:sz w:val="21"/>
          <w:szCs w:val="21"/>
          <w:color w:val="auto"/>
        </w:rPr>
      </w:pPr>
      <w:r>
        <w:rPr>
          <w:rFonts w:ascii="Arial" w:cs="Arial" w:eastAsia="Arial" w:hAnsi="Arial"/>
          <w:sz w:val="21"/>
          <w:szCs w:val="21"/>
          <w:color w:val="auto"/>
        </w:rPr>
        <w:t>You understand that the releases contained in this Agreement do not extend to any rights or claims that you have under the Age Discrimination in Employment Act that first arise after execution of this Agreement.</w:t>
      </w:r>
    </w:p>
    <w:p>
      <w:pPr>
        <w:spacing w:after="0" w:line="172" w:lineRule="exact"/>
        <w:rPr>
          <w:sz w:val="20"/>
          <w:szCs w:val="20"/>
          <w:color w:val="auto"/>
        </w:rPr>
      </w:pPr>
    </w:p>
    <w:p>
      <w:pPr>
        <w:jc w:val="both"/>
        <w:ind w:firstLine="656"/>
        <w:spacing w:after="0" w:line="243" w:lineRule="auto"/>
        <w:tabs>
          <w:tab w:leader="none" w:pos="1147" w:val="left"/>
        </w:tabs>
        <w:numPr>
          <w:ilvl w:val="1"/>
          <w:numId w:val="120"/>
        </w:numPr>
        <w:rPr>
          <w:rFonts w:ascii="Arial" w:cs="Arial" w:eastAsia="Arial" w:hAnsi="Arial"/>
          <w:sz w:val="19"/>
          <w:szCs w:val="19"/>
          <w:color w:val="auto"/>
        </w:rPr>
      </w:pPr>
      <w:r>
        <w:rPr>
          <w:rFonts w:ascii="Arial" w:cs="Arial" w:eastAsia="Arial" w:hAnsi="Arial"/>
          <w:sz w:val="19"/>
          <w:szCs w:val="19"/>
          <w:b w:val="1"/>
          <w:bCs w:val="1"/>
          <w:u w:val="single" w:color="auto"/>
          <w:color w:val="auto"/>
        </w:rPr>
        <w:t>409A</w:t>
      </w:r>
      <w:r>
        <w:rPr>
          <w:rFonts w:ascii="Arial" w:cs="Arial" w:eastAsia="Arial" w:hAnsi="Arial"/>
          <w:sz w:val="19"/>
          <w:szCs w:val="19"/>
          <w:color w:val="auto"/>
        </w:rPr>
        <w:t>. This Agreement is intended to comply with or be exempt from Section 409A or an exception thereunder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interpreted, construed and administered in accordance therewith. Notwithstanding anything in this Agreement to the contrary, in the event that you are deemed to be a “specified employee” within the meaning of Section 409A(a)(2)(B)(i), no payments hereunder that are “deferred compensation” subject to Section 409A shall be made to you prior to the date that is six</w:t>
      </w:r>
    </w:p>
    <w:p>
      <w:pPr>
        <w:spacing w:after="0" w:line="3" w:lineRule="exact"/>
        <w:rPr>
          <w:rFonts w:ascii="Arial" w:cs="Arial" w:eastAsia="Arial" w:hAnsi="Arial"/>
          <w:sz w:val="19"/>
          <w:szCs w:val="19"/>
          <w:color w:val="auto"/>
        </w:rPr>
      </w:pPr>
    </w:p>
    <w:p>
      <w:pPr>
        <w:jc w:val="both"/>
        <w:ind w:firstLine="8"/>
        <w:spacing w:after="0" w:line="251" w:lineRule="auto"/>
        <w:tabs>
          <w:tab w:leader="none" w:pos="32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months after your Separation Date or, if earlier, your date of death. Following any applicable six (6) month delay, all such delayed payments will be paid in a single lump sum on the first payroll date following the date that is six (6) months after your Separation Date. To the extent that any reimbursements are taxable to you, any such reimbursement payment due to you shall be paid to you in all events on or before the last day of your taxable year following the taxable year in which the related expense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252" w:right="339" w:bottom="1440" w:gutter="0" w:footer="0" w:header="0"/>
        </w:sectPr>
      </w:pPr>
    </w:p>
    <w:bookmarkStart w:id="202" w:name="page203"/>
    <w:bookmarkEnd w:id="202"/>
    <w:p>
      <w:pPr>
        <w:jc w:val="both"/>
        <w:spacing w:after="0" w:line="222" w:lineRule="auto"/>
        <w:rPr>
          <w:sz w:val="20"/>
          <w:szCs w:val="20"/>
          <w:color w:val="auto"/>
        </w:rPr>
      </w:pPr>
      <w:r>
        <w:rPr>
          <w:rFonts w:ascii="Arial" w:cs="Arial" w:eastAsia="Arial" w:hAnsi="Arial"/>
          <w:sz w:val="21"/>
          <w:szCs w:val="21"/>
          <w:color w:val="auto"/>
        </w:rPr>
        <w:t>incurred. The reimbursements are not subject to liquidation or exchange for another benefit and the amount of such benefits and reimbursements that you receive in one taxable year shall not affect the amount of such benefits or reimbursements that you receive in any other taxable year. For purposes of Section 409A, each installment payment, if applicable, provided under this Agreement shall be treated as a separate payment. Notwithstanding the foregoing, the Company makes no representations that the payments or benefits provided under this Agreement comply with Section 409A and in no event shall the Company be liable for all or any portion of any taxes, penalties, interest or other expenses that may be incurred by the you as a result of this Agreement failing to comply with Section 409A.</w:t>
      </w:r>
    </w:p>
    <w:p>
      <w:pPr>
        <w:spacing w:after="0" w:line="185" w:lineRule="exact"/>
        <w:rPr>
          <w:sz w:val="20"/>
          <w:szCs w:val="20"/>
          <w:color w:val="auto"/>
        </w:rPr>
      </w:pPr>
    </w:p>
    <w:p>
      <w:pPr>
        <w:ind w:firstLine="656"/>
        <w:spacing w:after="0" w:line="253" w:lineRule="auto"/>
        <w:tabs>
          <w:tab w:leader="none" w:pos="1269" w:val="left"/>
        </w:tabs>
        <w:numPr>
          <w:ilvl w:val="0"/>
          <w:numId w:val="122"/>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Arbitration</w:t>
      </w:r>
      <w:r>
        <w:rPr>
          <w:rFonts w:ascii="Arial" w:cs="Arial" w:eastAsia="Arial" w:hAnsi="Arial"/>
          <w:sz w:val="21"/>
          <w:szCs w:val="21"/>
          <w:color w:val="auto"/>
        </w:rPr>
        <w:t>. The parties hereby agree that the “Governing Law; Arbitration” section of the</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Agreement set forth at Section 12 of the Employment Agreement is incorporated into this Agreement.</w:t>
      </w:r>
    </w:p>
    <w:p>
      <w:pPr>
        <w:spacing w:after="0" w:line="165" w:lineRule="exact"/>
        <w:rPr>
          <w:rFonts w:ascii="Arial" w:cs="Arial" w:eastAsia="Arial" w:hAnsi="Arial"/>
          <w:sz w:val="21"/>
          <w:szCs w:val="21"/>
          <w:color w:val="auto"/>
        </w:rPr>
      </w:pPr>
    </w:p>
    <w:p>
      <w:pPr>
        <w:jc w:val="both"/>
        <w:ind w:firstLine="656"/>
        <w:spacing w:after="0" w:line="225" w:lineRule="auto"/>
        <w:tabs>
          <w:tab w:leader="none" w:pos="1228" w:val="left"/>
        </w:tabs>
        <w:numPr>
          <w:ilvl w:val="0"/>
          <w:numId w:val="122"/>
        </w:numPr>
        <w:rPr>
          <w:rFonts w:ascii="Arial" w:cs="Arial" w:eastAsia="Arial" w:hAnsi="Arial"/>
          <w:sz w:val="22"/>
          <w:szCs w:val="22"/>
          <w:color w:val="auto"/>
        </w:rPr>
      </w:pPr>
      <w:r>
        <w:rPr>
          <w:rFonts w:ascii="Arial" w:cs="Arial" w:eastAsia="Arial" w:hAnsi="Arial"/>
          <w:sz w:val="22"/>
          <w:szCs w:val="22"/>
          <w:b w:val="1"/>
          <w:bCs w:val="1"/>
          <w:u w:val="single" w:color="auto"/>
          <w:color w:val="auto"/>
        </w:rPr>
        <w:t>Resignation of Director and Officer Positions</w:t>
      </w:r>
      <w:r>
        <w:rPr>
          <w:rFonts w:ascii="Arial" w:cs="Arial" w:eastAsia="Arial" w:hAnsi="Arial"/>
          <w:sz w:val="22"/>
          <w:szCs w:val="22"/>
          <w:color w:val="auto"/>
        </w:rPr>
        <w:t>. As of the Separation Date, you will resign your position as an</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and/or director of the Company and all of the Company’s subsidiaries, if any. You will execute and deliver to the Company any requested resignation letters documenting your resignation from such positions.</w:t>
      </w:r>
    </w:p>
    <w:p>
      <w:pPr>
        <w:spacing w:after="0" w:line="179" w:lineRule="exact"/>
        <w:rPr>
          <w:rFonts w:ascii="Arial" w:cs="Arial" w:eastAsia="Arial" w:hAnsi="Arial"/>
          <w:sz w:val="22"/>
          <w:szCs w:val="22"/>
          <w:color w:val="auto"/>
        </w:rPr>
      </w:pPr>
    </w:p>
    <w:p>
      <w:pPr>
        <w:jc w:val="both"/>
        <w:ind w:firstLine="656"/>
        <w:spacing w:after="0" w:line="217" w:lineRule="auto"/>
        <w:tabs>
          <w:tab w:leader="none" w:pos="1147" w:val="left"/>
        </w:tabs>
        <w:numPr>
          <w:ilvl w:val="0"/>
          <w:numId w:val="122"/>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signed in counterparts, both of which shall be deemed an original, but both</w:t>
      </w:r>
      <w:r>
        <w:rPr>
          <w:rFonts w:ascii="Arial" w:cs="Arial" w:eastAsia="Arial" w:hAnsi="Arial"/>
          <w:sz w:val="22"/>
          <w:szCs w:val="22"/>
          <w:b w:val="1"/>
          <w:bCs w:val="1"/>
          <w:color w:val="auto"/>
        </w:rPr>
        <w:t xml:space="preserve"> </w:t>
      </w:r>
      <w:r>
        <w:rPr>
          <w:rFonts w:ascii="Arial" w:cs="Arial" w:eastAsia="Arial" w:hAnsi="Arial"/>
          <w:sz w:val="22"/>
          <w:szCs w:val="22"/>
          <w:color w:val="auto"/>
        </w:rPr>
        <w:t>of which, taken together shall constitute the same instrument. A signature made on an electronically mailed copy of the Agreement or a signature transmitted by electronic mail shall have the same effect as the original signature. The section headings used in this Agreement are intended solely for convenience of reference and shall not in any manner amplify, limit, modify or otherwise be used in the interpretation of any of the provisions hereof. This Agreement shall be binding upon and inure to the benefit of the parties and their respective personal representatives, agents, attorneys, executors, administrators, heirs, successors and assigns.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follow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009" w:right="339" w:bottom="1440" w:gutter="0" w:footer="0" w:header="0"/>
        </w:sectPr>
      </w:pPr>
    </w:p>
    <w:bookmarkStart w:id="203" w:name="page204"/>
    <w:bookmarkEnd w:id="203"/>
    <w:p>
      <w:pPr>
        <w:jc w:val="both"/>
        <w:spacing w:after="0" w:line="232" w:lineRule="auto"/>
        <w:rPr>
          <w:sz w:val="20"/>
          <w:szCs w:val="20"/>
          <w:color w:val="auto"/>
        </w:rPr>
      </w:pPr>
      <w:r>
        <w:rPr>
          <w:rFonts w:ascii="Arial" w:cs="Arial" w:eastAsia="Arial" w:hAnsi="Arial"/>
          <w:sz w:val="22"/>
          <w:szCs w:val="22"/>
          <w:color w:val="auto"/>
        </w:rPr>
        <w:t>IN WITNESS WHEREOF, the parties hereto knowingly and voluntarily entered into this Agreement and General Release as of the date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SCIENTIFIC GAMES CORPORATION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Eileen Moore</w:t>
      </w:r>
      <w:r>
        <w:rPr>
          <w:rFonts w:ascii="Arial" w:cs="Arial" w:eastAsia="Arial" w:hAnsi="Arial"/>
          <w:sz w:val="22"/>
          <w:szCs w:val="22"/>
          <w:color w:val="auto"/>
        </w:rPr>
        <w:t>_________________</w:t>
      </w:r>
    </w:p>
    <w:p>
      <w:pPr>
        <w:spacing w:after="0" w:line="204" w:lineRule="auto"/>
        <w:rPr>
          <w:sz w:val="20"/>
          <w:szCs w:val="20"/>
          <w:color w:val="auto"/>
        </w:rPr>
      </w:pPr>
      <w:r>
        <w:rPr>
          <w:rFonts w:ascii="Arial" w:cs="Arial" w:eastAsia="Arial" w:hAnsi="Arial"/>
          <w:sz w:val="22"/>
          <w:szCs w:val="22"/>
          <w:color w:val="auto"/>
        </w:rPr>
        <w:t>Name: _</w:t>
      </w:r>
      <w:r>
        <w:rPr>
          <w:rFonts w:ascii="Arial" w:cs="Arial" w:eastAsia="Arial" w:hAnsi="Arial"/>
          <w:sz w:val="22"/>
          <w:szCs w:val="22"/>
          <w:u w:val="single" w:color="auto"/>
          <w:color w:val="auto"/>
        </w:rPr>
        <w:t>Elieen Moore</w:t>
      </w:r>
      <w:r>
        <w:rPr>
          <w:rFonts w:ascii="Arial" w:cs="Arial" w:eastAsia="Arial" w:hAnsi="Arial"/>
          <w:sz w:val="22"/>
          <w:szCs w:val="22"/>
          <w:color w:val="auto"/>
        </w:rPr>
        <w:t>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_</w:t>
      </w:r>
      <w:r>
        <w:rPr>
          <w:rFonts w:ascii="Arial" w:cs="Arial" w:eastAsia="Arial" w:hAnsi="Arial"/>
          <w:sz w:val="22"/>
          <w:szCs w:val="22"/>
          <w:u w:val="single" w:color="auto"/>
          <w:color w:val="auto"/>
        </w:rPr>
        <w:t>EVP &amp; Chief Human Resources Officer</w:t>
      </w:r>
    </w:p>
    <w:p>
      <w:pPr>
        <w:spacing w:after="0" w:line="16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1"/>
          <w:szCs w:val="21"/>
          <w:color w:val="auto"/>
        </w:rPr>
        <w:t>I have decided to accept this Agreement and General Release, to fulfill the promises I have made, and to receive the Severance Benefits described in Section 2 above. I hereby freely and voluntarily assent to all the terms and conditions in this Agreement and General Release. I understand that this Agreement and General Release will become a binding agreement between the Company and me as of the 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after I sign it, and I am signing this Agreement and General Release as my own free act with the full intent of releasing the Released Parties from all Claims, as described in Section 4 above, including but not limited to those under the Age Discrimination in Employment Act (ADEA).</w:t>
      </w:r>
    </w:p>
    <w:p>
      <w:pPr>
        <w:spacing w:after="0" w:line="167" w:lineRule="exact"/>
        <w:rPr>
          <w:sz w:val="20"/>
          <w:szCs w:val="20"/>
          <w:color w:val="auto"/>
        </w:rPr>
      </w:pPr>
    </w:p>
    <w:p>
      <w:pPr>
        <w:spacing w:after="0"/>
        <w:tabs>
          <w:tab w:leader="none" w:pos="4260" w:val="left"/>
        </w:tabs>
        <w:rPr>
          <w:sz w:val="20"/>
          <w:szCs w:val="20"/>
          <w:color w:val="auto"/>
        </w:rPr>
      </w:pPr>
      <w:r>
        <w:rPr>
          <w:rFonts w:ascii="Arial" w:cs="Arial" w:eastAsia="Arial" w:hAnsi="Arial"/>
          <w:sz w:val="22"/>
          <w:szCs w:val="22"/>
          <w:u w:val="single" w:color="auto"/>
          <w:color w:val="auto"/>
        </w:rPr>
        <w:t>/s/ Michael C. Eklund</w:t>
      </w:r>
      <w:r>
        <w:rPr>
          <w:rFonts w:ascii="Arial" w:cs="Arial" w:eastAsia="Arial" w:hAnsi="Arial"/>
          <w:sz w:val="22"/>
          <w:szCs w:val="22"/>
          <w:color w:val="auto"/>
        </w:rPr>
        <w:t>__________________</w:t>
      </w:r>
      <w:r>
        <w:rPr>
          <w:sz w:val="20"/>
          <w:szCs w:val="20"/>
          <w:color w:val="auto"/>
        </w:rPr>
        <w:tab/>
      </w:r>
      <w:r>
        <w:rPr>
          <w:rFonts w:ascii="Arial" w:cs="Arial" w:eastAsia="Arial" w:hAnsi="Arial"/>
          <w:sz w:val="19"/>
          <w:szCs w:val="19"/>
          <w:color w:val="auto"/>
        </w:rPr>
        <w:t>Date:_</w:t>
      </w:r>
      <w:r>
        <w:rPr>
          <w:rFonts w:ascii="Arial" w:cs="Arial" w:eastAsia="Arial" w:hAnsi="Arial"/>
          <w:sz w:val="19"/>
          <w:szCs w:val="19"/>
          <w:u w:val="single" w:color="auto"/>
          <w:color w:val="auto"/>
        </w:rPr>
        <w:t>22 - Oct - 2021</w:t>
      </w:r>
      <w:r>
        <w:rPr>
          <w:rFonts w:ascii="Arial" w:cs="Arial" w:eastAsia="Arial" w:hAnsi="Arial"/>
          <w:sz w:val="19"/>
          <w:szCs w:val="19"/>
          <w:color w:val="auto"/>
        </w:rPr>
        <w:t>____________</w:t>
      </w:r>
    </w:p>
    <w:p>
      <w:pPr>
        <w:spacing w:after="0"/>
        <w:rPr>
          <w:sz w:val="20"/>
          <w:szCs w:val="20"/>
          <w:color w:val="auto"/>
        </w:rPr>
      </w:pPr>
      <w:r>
        <w:rPr>
          <w:rFonts w:ascii="Arial" w:cs="Arial" w:eastAsia="Arial" w:hAnsi="Arial"/>
          <w:sz w:val="22"/>
          <w:szCs w:val="22"/>
          <w:b w:val="1"/>
          <w:bCs w:val="1"/>
          <w:color w:val="auto"/>
        </w:rPr>
        <w:t>MICHAEL C. EKLUND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009"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SCIENTIFIC GAMES CORPORATION SUBSIDIARIES</w:t>
      </w:r>
    </w:p>
    <w:p>
      <w:pPr>
        <w:jc w:val="center"/>
        <w:spacing w:after="0" w:line="225" w:lineRule="auto"/>
        <w:rPr>
          <w:sz w:val="20"/>
          <w:szCs w:val="20"/>
          <w:color w:val="auto"/>
        </w:rPr>
      </w:pPr>
      <w:r>
        <w:rPr>
          <w:rFonts w:ascii="Arial" w:cs="Arial" w:eastAsia="Arial" w:hAnsi="Arial"/>
          <w:sz w:val="18"/>
          <w:szCs w:val="18"/>
          <w:color w:val="auto"/>
        </w:rPr>
        <w:t>(All subsidiaries are 100% owned unless otherwise 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includes only subsidiaries in which Scientific Games holds equal to or greater than 50% of the subsidiary)</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*Indicates a SciPlay Corporation (Nevada) (“SciPlay”) subsidiary. SciPlay’s Class A common stock is traded on The NASDAQ Global Select Market. To date, Scientific Games Corporation continues to control shares representing a majority of the combined voting power in SciPlay.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A.L.I. Online Inc. (British Columbia, Canada)</w:t>
      </w:r>
    </w:p>
    <w:p>
      <w:pPr>
        <w:spacing w:after="0" w:line="227" w:lineRule="auto"/>
        <w:rPr>
          <w:sz w:val="20"/>
          <w:szCs w:val="20"/>
          <w:color w:val="auto"/>
        </w:rPr>
      </w:pPr>
      <w:r>
        <w:rPr>
          <w:rFonts w:ascii="Arial" w:cs="Arial" w:eastAsia="Arial" w:hAnsi="Arial"/>
          <w:sz w:val="20"/>
          <w:szCs w:val="20"/>
          <w:color w:val="auto"/>
        </w:rPr>
        <w:t>Authentic Gaming Malta Limited (Malta)</w:t>
      </w:r>
    </w:p>
    <w:p>
      <w:pPr>
        <w:spacing w:after="0" w:line="223" w:lineRule="auto"/>
        <w:rPr>
          <w:sz w:val="20"/>
          <w:szCs w:val="20"/>
          <w:color w:val="auto"/>
        </w:rPr>
      </w:pPr>
      <w:r>
        <w:rPr>
          <w:rFonts w:ascii="Arial" w:cs="Arial" w:eastAsia="Arial" w:hAnsi="Arial"/>
          <w:sz w:val="20"/>
          <w:szCs w:val="20"/>
          <w:color w:val="auto"/>
        </w:rPr>
        <w:t>Authentic Gaming Limited (Malta)</w:t>
      </w:r>
    </w:p>
    <w:p>
      <w:pPr>
        <w:spacing w:after="0" w:line="228" w:lineRule="auto"/>
        <w:rPr>
          <w:sz w:val="20"/>
          <w:szCs w:val="20"/>
          <w:color w:val="auto"/>
        </w:rPr>
      </w:pPr>
      <w:r>
        <w:rPr>
          <w:rFonts w:ascii="Arial" w:cs="Arial" w:eastAsia="Arial" w:hAnsi="Arial"/>
          <w:sz w:val="20"/>
          <w:szCs w:val="20"/>
          <w:color w:val="auto"/>
        </w:rPr>
        <w:t xml:space="preserve">BGI Gaming &amp; </w:t>
      </w:r>
      <w:r>
        <w:rPr>
          <w:rFonts w:ascii="Arial" w:cs="Arial" w:eastAsia="Arial" w:hAnsi="Arial"/>
          <w:sz w:val="21"/>
          <w:szCs w:val="21"/>
          <w:color w:val="auto"/>
        </w:rPr>
        <w:t>Systems, S. de</w:t>
      </w:r>
      <w:r>
        <w:rPr>
          <w:rFonts w:ascii="Arial" w:cs="Arial" w:eastAsia="Arial" w:hAnsi="Arial"/>
          <w:sz w:val="20"/>
          <w:szCs w:val="20"/>
          <w:color w:val="auto"/>
        </w:rPr>
        <w:t xml:space="preserve"> R.L. </w:t>
      </w:r>
      <w:r>
        <w:rPr>
          <w:rFonts w:ascii="Arial" w:cs="Arial" w:eastAsia="Arial" w:hAnsi="Arial"/>
          <w:sz w:val="21"/>
          <w:szCs w:val="21"/>
          <w:color w:val="auto"/>
        </w:rPr>
        <w:t>de C.V. (Mexico)</w:t>
      </w:r>
    </w:p>
    <w:p>
      <w:pPr>
        <w:spacing w:after="0" w:line="228" w:lineRule="auto"/>
        <w:rPr>
          <w:sz w:val="20"/>
          <w:szCs w:val="20"/>
          <w:color w:val="auto"/>
        </w:rPr>
      </w:pPr>
      <w:r>
        <w:rPr>
          <w:rFonts w:ascii="Arial" w:cs="Arial" w:eastAsia="Arial" w:hAnsi="Arial"/>
          <w:sz w:val="20"/>
          <w:szCs w:val="20"/>
          <w:color w:val="auto"/>
        </w:rPr>
        <w:t xml:space="preserve">Bally </w:t>
      </w:r>
      <w:r>
        <w:rPr>
          <w:rFonts w:ascii="Arial" w:cs="Arial" w:eastAsia="Arial" w:hAnsi="Arial"/>
          <w:sz w:val="21"/>
          <w:szCs w:val="21"/>
          <w:color w:val="auto"/>
        </w:rPr>
        <w:t>Gaming and Systems (France)</w:t>
      </w:r>
    </w:p>
    <w:p>
      <w:pPr>
        <w:spacing w:after="0" w:line="228" w:lineRule="auto"/>
        <w:rPr>
          <w:sz w:val="20"/>
          <w:szCs w:val="20"/>
          <w:color w:val="auto"/>
        </w:rPr>
      </w:pPr>
      <w:r>
        <w:rPr>
          <w:rFonts w:ascii="Arial" w:cs="Arial" w:eastAsia="Arial" w:hAnsi="Arial"/>
          <w:sz w:val="20"/>
          <w:szCs w:val="20"/>
          <w:color w:val="auto"/>
        </w:rPr>
        <w:t xml:space="preserve">Bally </w:t>
      </w:r>
      <w:r>
        <w:rPr>
          <w:rFonts w:ascii="Arial" w:cs="Arial" w:eastAsia="Arial" w:hAnsi="Arial"/>
          <w:sz w:val="21"/>
          <w:szCs w:val="21"/>
          <w:color w:val="auto"/>
        </w:rPr>
        <w:t>Gaming and Systems Holdings</w:t>
      </w:r>
      <w:r>
        <w:rPr>
          <w:rFonts w:ascii="Arial" w:cs="Arial" w:eastAsia="Arial" w:hAnsi="Arial"/>
          <w:sz w:val="20"/>
          <w:szCs w:val="20"/>
          <w:color w:val="auto"/>
        </w:rPr>
        <w:t xml:space="preserve"> Limited </w:t>
      </w:r>
      <w:r>
        <w:rPr>
          <w:rFonts w:ascii="Arial" w:cs="Arial" w:eastAsia="Arial" w:hAnsi="Arial"/>
          <w:sz w:val="21"/>
          <w:szCs w:val="21"/>
          <w:color w:val="auto"/>
        </w:rPr>
        <w:t>(England and Wales)</w:t>
      </w:r>
    </w:p>
    <w:p>
      <w:pPr>
        <w:spacing w:after="0" w:line="228" w:lineRule="auto"/>
        <w:rPr>
          <w:sz w:val="20"/>
          <w:szCs w:val="20"/>
          <w:color w:val="auto"/>
        </w:rPr>
      </w:pPr>
      <w:r>
        <w:rPr>
          <w:rFonts w:ascii="Arial" w:cs="Arial" w:eastAsia="Arial" w:hAnsi="Arial"/>
          <w:sz w:val="20"/>
          <w:szCs w:val="20"/>
          <w:color w:val="auto"/>
        </w:rPr>
        <w:t xml:space="preserve">Bally </w:t>
      </w:r>
      <w:r>
        <w:rPr>
          <w:rFonts w:ascii="Arial" w:cs="Arial" w:eastAsia="Arial" w:hAnsi="Arial"/>
          <w:sz w:val="21"/>
          <w:szCs w:val="21"/>
          <w:color w:val="auto"/>
        </w:rPr>
        <w:t>Gaming and Systems S.A. (Uruguay)</w:t>
      </w:r>
    </w:p>
    <w:p>
      <w:pPr>
        <w:spacing w:after="0" w:line="228" w:lineRule="auto"/>
        <w:rPr>
          <w:sz w:val="20"/>
          <w:szCs w:val="20"/>
          <w:color w:val="auto"/>
        </w:rPr>
      </w:pPr>
      <w:r>
        <w:rPr>
          <w:rFonts w:ascii="Arial" w:cs="Arial" w:eastAsia="Arial" w:hAnsi="Arial"/>
          <w:sz w:val="20"/>
          <w:szCs w:val="20"/>
          <w:color w:val="auto"/>
        </w:rPr>
        <w:t xml:space="preserve">Bally </w:t>
      </w:r>
      <w:r>
        <w:rPr>
          <w:rFonts w:ascii="Arial" w:cs="Arial" w:eastAsia="Arial" w:hAnsi="Arial"/>
          <w:sz w:val="21"/>
          <w:szCs w:val="21"/>
          <w:color w:val="auto"/>
        </w:rPr>
        <w:t>Gaming and Systems UK</w:t>
      </w:r>
      <w:r>
        <w:rPr>
          <w:rFonts w:ascii="Arial" w:cs="Arial" w:eastAsia="Arial" w:hAnsi="Arial"/>
          <w:sz w:val="20"/>
          <w:szCs w:val="20"/>
          <w:color w:val="auto"/>
        </w:rPr>
        <w:t xml:space="preserve"> Limited </w:t>
      </w:r>
      <w:r>
        <w:rPr>
          <w:rFonts w:ascii="Arial" w:cs="Arial" w:eastAsia="Arial" w:hAnsi="Arial"/>
          <w:sz w:val="21"/>
          <w:szCs w:val="21"/>
          <w:color w:val="auto"/>
        </w:rPr>
        <w:t>(England and Wales)</w:t>
      </w:r>
    </w:p>
    <w:p>
      <w:pPr>
        <w:spacing w:after="0" w:line="228" w:lineRule="auto"/>
        <w:rPr>
          <w:sz w:val="20"/>
          <w:szCs w:val="20"/>
          <w:color w:val="auto"/>
        </w:rPr>
      </w:pPr>
      <w:r>
        <w:rPr>
          <w:rFonts w:ascii="Arial" w:cs="Arial" w:eastAsia="Arial" w:hAnsi="Arial"/>
          <w:sz w:val="20"/>
          <w:szCs w:val="20"/>
          <w:color w:val="auto"/>
        </w:rPr>
        <w:t xml:space="preserve">Bally </w:t>
      </w:r>
      <w:r>
        <w:rPr>
          <w:rFonts w:ascii="Arial" w:cs="Arial" w:eastAsia="Arial" w:hAnsi="Arial"/>
          <w:sz w:val="21"/>
          <w:szCs w:val="21"/>
          <w:color w:val="auto"/>
        </w:rPr>
        <w:t>Gaming Canada</w:t>
      </w:r>
      <w:r>
        <w:rPr>
          <w:rFonts w:ascii="Arial" w:cs="Arial" w:eastAsia="Arial" w:hAnsi="Arial"/>
          <w:sz w:val="20"/>
          <w:szCs w:val="20"/>
          <w:color w:val="auto"/>
        </w:rPr>
        <w:t xml:space="preserve"> Ltd. </w:t>
      </w:r>
      <w:r>
        <w:rPr>
          <w:rFonts w:ascii="Arial" w:cs="Arial" w:eastAsia="Arial" w:hAnsi="Arial"/>
          <w:sz w:val="21"/>
          <w:szCs w:val="21"/>
          <w:color w:val="auto"/>
        </w:rPr>
        <w:t>(New Brunswick, Canada)</w:t>
      </w:r>
    </w:p>
    <w:p>
      <w:pPr>
        <w:spacing w:after="0" w:line="1" w:lineRule="exact"/>
        <w:rPr>
          <w:sz w:val="20"/>
          <w:szCs w:val="20"/>
          <w:color w:val="auto"/>
        </w:rPr>
      </w:pPr>
    </w:p>
    <w:p>
      <w:pPr>
        <w:ind w:left="500" w:right="240" w:hanging="485"/>
        <w:spacing w:after="0" w:line="217" w:lineRule="auto"/>
        <w:rPr>
          <w:sz w:val="20"/>
          <w:szCs w:val="20"/>
          <w:color w:val="auto"/>
        </w:rPr>
      </w:pPr>
      <w:r>
        <w:rPr>
          <w:rFonts w:ascii="Arial" w:cs="Arial" w:eastAsia="Arial" w:hAnsi="Arial"/>
          <w:sz w:val="22"/>
          <w:szCs w:val="22"/>
          <w:color w:val="auto"/>
        </w:rPr>
        <w:t>Bally Gaming, družba za prodajo in vzdrževanje igralnih naprav, igralnih pripomočkov in igralnih sistemov, d.o.o. (Slovenia) – short name Bally Gaming d.o.o.</w:t>
      </w:r>
    </w:p>
    <w:p>
      <w:pPr>
        <w:spacing w:after="0" w:line="229" w:lineRule="auto"/>
        <w:rPr>
          <w:sz w:val="20"/>
          <w:szCs w:val="20"/>
          <w:color w:val="auto"/>
        </w:rPr>
      </w:pPr>
      <w:r>
        <w:rPr>
          <w:rFonts w:ascii="Arial" w:cs="Arial" w:eastAsia="Arial" w:hAnsi="Arial"/>
          <w:sz w:val="20"/>
          <w:szCs w:val="20"/>
          <w:color w:val="auto"/>
        </w:rPr>
        <w:t xml:space="preserve">Bally </w:t>
      </w:r>
      <w:r>
        <w:rPr>
          <w:rFonts w:ascii="Arial" w:cs="Arial" w:eastAsia="Arial" w:hAnsi="Arial"/>
          <w:sz w:val="21"/>
          <w:szCs w:val="21"/>
          <w:color w:val="auto"/>
        </w:rPr>
        <w:t>Gaming GP, LLC (Nevada)</w:t>
      </w:r>
    </w:p>
    <w:p>
      <w:pPr>
        <w:spacing w:after="0" w:line="228" w:lineRule="auto"/>
        <w:rPr>
          <w:sz w:val="20"/>
          <w:szCs w:val="20"/>
          <w:color w:val="auto"/>
        </w:rPr>
      </w:pPr>
      <w:r>
        <w:rPr>
          <w:rFonts w:ascii="Arial" w:cs="Arial" w:eastAsia="Arial" w:hAnsi="Arial"/>
          <w:sz w:val="20"/>
          <w:szCs w:val="20"/>
          <w:color w:val="auto"/>
        </w:rPr>
        <w:t xml:space="preserve">Bally </w:t>
      </w:r>
      <w:r>
        <w:rPr>
          <w:rFonts w:ascii="Arial" w:cs="Arial" w:eastAsia="Arial" w:hAnsi="Arial"/>
          <w:sz w:val="21"/>
          <w:szCs w:val="21"/>
          <w:color w:val="auto"/>
        </w:rPr>
        <w:t>Gaming LP, LLC (Nevada)</w:t>
      </w:r>
    </w:p>
    <w:p>
      <w:pPr>
        <w:spacing w:after="0" w:line="228" w:lineRule="auto"/>
        <w:rPr>
          <w:sz w:val="20"/>
          <w:szCs w:val="20"/>
          <w:color w:val="auto"/>
        </w:rPr>
      </w:pPr>
      <w:r>
        <w:rPr>
          <w:rFonts w:ascii="Arial" w:cs="Arial" w:eastAsia="Arial" w:hAnsi="Arial"/>
          <w:sz w:val="20"/>
          <w:szCs w:val="20"/>
          <w:color w:val="auto"/>
        </w:rPr>
        <w:t xml:space="preserve">Bally </w:t>
      </w:r>
      <w:r>
        <w:rPr>
          <w:rFonts w:ascii="Arial" w:cs="Arial" w:eastAsia="Arial" w:hAnsi="Arial"/>
          <w:sz w:val="21"/>
          <w:szCs w:val="21"/>
          <w:color w:val="auto"/>
        </w:rPr>
        <w:t>Gaming Netherlands</w:t>
      </w:r>
      <w:r>
        <w:rPr>
          <w:rFonts w:ascii="Arial" w:cs="Arial" w:eastAsia="Arial" w:hAnsi="Arial"/>
          <w:sz w:val="20"/>
          <w:szCs w:val="20"/>
          <w:color w:val="auto"/>
        </w:rPr>
        <w:t xml:space="preserve"> I </w:t>
      </w:r>
      <w:r>
        <w:rPr>
          <w:rFonts w:ascii="Arial" w:cs="Arial" w:eastAsia="Arial" w:hAnsi="Arial"/>
          <w:sz w:val="21"/>
          <w:szCs w:val="21"/>
          <w:color w:val="auto"/>
        </w:rPr>
        <w:t>B.V. (Netherlands)</w:t>
      </w:r>
    </w:p>
    <w:p>
      <w:pPr>
        <w:spacing w:after="0" w:line="228" w:lineRule="auto"/>
        <w:rPr>
          <w:sz w:val="20"/>
          <w:szCs w:val="20"/>
          <w:color w:val="auto"/>
        </w:rPr>
      </w:pPr>
      <w:r>
        <w:rPr>
          <w:rFonts w:ascii="Arial" w:cs="Arial" w:eastAsia="Arial" w:hAnsi="Arial"/>
          <w:sz w:val="20"/>
          <w:szCs w:val="20"/>
          <w:color w:val="auto"/>
        </w:rPr>
        <w:t xml:space="preserve">Bally </w:t>
      </w:r>
      <w:r>
        <w:rPr>
          <w:rFonts w:ascii="Arial" w:cs="Arial" w:eastAsia="Arial" w:hAnsi="Arial"/>
          <w:sz w:val="21"/>
          <w:szCs w:val="21"/>
          <w:color w:val="auto"/>
        </w:rPr>
        <w:t>Gaming Netherlands</w:t>
      </w:r>
      <w:r>
        <w:rPr>
          <w:rFonts w:ascii="Arial" w:cs="Arial" w:eastAsia="Arial" w:hAnsi="Arial"/>
          <w:sz w:val="20"/>
          <w:szCs w:val="20"/>
          <w:color w:val="auto"/>
        </w:rPr>
        <w:t xml:space="preserve"> II </w:t>
      </w:r>
      <w:r>
        <w:rPr>
          <w:rFonts w:ascii="Arial" w:cs="Arial" w:eastAsia="Arial" w:hAnsi="Arial"/>
          <w:sz w:val="21"/>
          <w:szCs w:val="21"/>
          <w:color w:val="auto"/>
        </w:rPr>
        <w:t>B.V. (Netherlands)</w:t>
      </w:r>
    </w:p>
    <w:p>
      <w:pPr>
        <w:spacing w:after="0" w:line="229" w:lineRule="auto"/>
        <w:rPr>
          <w:sz w:val="20"/>
          <w:szCs w:val="20"/>
          <w:color w:val="auto"/>
        </w:rPr>
      </w:pPr>
      <w:r>
        <w:rPr>
          <w:rFonts w:ascii="Arial" w:cs="Arial" w:eastAsia="Arial" w:hAnsi="Arial"/>
          <w:sz w:val="20"/>
          <w:szCs w:val="20"/>
          <w:color w:val="auto"/>
        </w:rPr>
        <w:t xml:space="preserve">Bally </w:t>
      </w:r>
      <w:r>
        <w:rPr>
          <w:rFonts w:ascii="Arial" w:cs="Arial" w:eastAsia="Arial" w:hAnsi="Arial"/>
          <w:sz w:val="21"/>
          <w:szCs w:val="21"/>
          <w:color w:val="auto"/>
        </w:rPr>
        <w:t>Gaming Netherlands</w:t>
      </w:r>
      <w:r>
        <w:rPr>
          <w:rFonts w:ascii="Arial" w:cs="Arial" w:eastAsia="Arial" w:hAnsi="Arial"/>
          <w:sz w:val="20"/>
          <w:szCs w:val="20"/>
          <w:color w:val="auto"/>
        </w:rPr>
        <w:t xml:space="preserve"> III </w:t>
      </w:r>
      <w:r>
        <w:rPr>
          <w:rFonts w:ascii="Arial" w:cs="Arial" w:eastAsia="Arial" w:hAnsi="Arial"/>
          <w:sz w:val="21"/>
          <w:szCs w:val="21"/>
          <w:color w:val="auto"/>
        </w:rPr>
        <w:t>B.V. (Netherlands)</w:t>
      </w:r>
    </w:p>
    <w:p>
      <w:pPr>
        <w:spacing w:after="0" w:line="228" w:lineRule="auto"/>
        <w:rPr>
          <w:sz w:val="20"/>
          <w:szCs w:val="20"/>
          <w:color w:val="auto"/>
        </w:rPr>
      </w:pPr>
      <w:r>
        <w:rPr>
          <w:rFonts w:ascii="Arial" w:cs="Arial" w:eastAsia="Arial" w:hAnsi="Arial"/>
          <w:sz w:val="20"/>
          <w:szCs w:val="20"/>
          <w:color w:val="auto"/>
        </w:rPr>
        <w:t xml:space="preserve">Bally </w:t>
      </w:r>
      <w:r>
        <w:rPr>
          <w:rFonts w:ascii="Arial" w:cs="Arial" w:eastAsia="Arial" w:hAnsi="Arial"/>
          <w:sz w:val="21"/>
          <w:szCs w:val="21"/>
          <w:color w:val="auto"/>
        </w:rPr>
        <w:t>Technologies Bermuda, L.P. (Bermuda)</w:t>
      </w:r>
    </w:p>
    <w:p>
      <w:pPr>
        <w:spacing w:after="0" w:line="228" w:lineRule="auto"/>
        <w:rPr>
          <w:sz w:val="20"/>
          <w:szCs w:val="20"/>
          <w:color w:val="auto"/>
        </w:rPr>
      </w:pPr>
      <w:r>
        <w:rPr>
          <w:rFonts w:ascii="Arial" w:cs="Arial" w:eastAsia="Arial" w:hAnsi="Arial"/>
          <w:sz w:val="20"/>
          <w:szCs w:val="20"/>
          <w:color w:val="auto"/>
        </w:rPr>
        <w:t xml:space="preserve">Bally </w:t>
      </w:r>
      <w:r>
        <w:rPr>
          <w:rFonts w:ascii="Arial" w:cs="Arial" w:eastAsia="Arial" w:hAnsi="Arial"/>
          <w:sz w:val="21"/>
          <w:szCs w:val="21"/>
          <w:color w:val="auto"/>
        </w:rPr>
        <w:t>Technologies Colombia SAS (Colombia)</w:t>
      </w:r>
    </w:p>
    <w:p>
      <w:pPr>
        <w:spacing w:after="0" w:line="230" w:lineRule="auto"/>
        <w:rPr>
          <w:sz w:val="20"/>
          <w:szCs w:val="20"/>
          <w:color w:val="auto"/>
        </w:rPr>
      </w:pPr>
      <w:r>
        <w:rPr>
          <w:rFonts w:ascii="Arial" w:cs="Arial" w:eastAsia="Arial" w:hAnsi="Arial"/>
          <w:sz w:val="20"/>
          <w:szCs w:val="20"/>
          <w:color w:val="auto"/>
        </w:rPr>
        <w:t xml:space="preserve">Bally </w:t>
      </w:r>
      <w:r>
        <w:rPr>
          <w:rFonts w:ascii="Arial" w:cs="Arial" w:eastAsia="Arial" w:hAnsi="Arial"/>
          <w:sz w:val="21"/>
          <w:szCs w:val="21"/>
          <w:color w:val="auto"/>
        </w:rPr>
        <w:t>Technologies</w:t>
      </w:r>
      <w:r>
        <w:rPr>
          <w:rFonts w:ascii="Arial" w:cs="Arial" w:eastAsia="Arial" w:hAnsi="Arial"/>
          <w:sz w:val="20"/>
          <w:szCs w:val="20"/>
          <w:color w:val="auto"/>
        </w:rPr>
        <w:t xml:space="preserve"> Italy S.r.l. </w:t>
      </w:r>
      <w:r>
        <w:rPr>
          <w:rFonts w:ascii="Arial" w:cs="Arial" w:eastAsia="Arial" w:hAnsi="Arial"/>
          <w:sz w:val="21"/>
          <w:szCs w:val="21"/>
          <w:color w:val="auto"/>
        </w:rPr>
        <w:t>Unipersonale (Italy)</w:t>
      </w:r>
    </w:p>
    <w:p>
      <w:pPr>
        <w:spacing w:after="0" w:line="223" w:lineRule="auto"/>
        <w:rPr>
          <w:sz w:val="20"/>
          <w:szCs w:val="20"/>
          <w:color w:val="auto"/>
        </w:rPr>
      </w:pPr>
      <w:r>
        <w:rPr>
          <w:rFonts w:ascii="Arial" w:cs="Arial" w:eastAsia="Arial" w:hAnsi="Arial"/>
          <w:sz w:val="20"/>
          <w:szCs w:val="20"/>
          <w:color w:val="auto"/>
        </w:rPr>
        <w:t>Barcrest Development B.V. (Netherlands) (50%)</w:t>
      </w:r>
    </w:p>
    <w:p>
      <w:pPr>
        <w:spacing w:after="0" w:line="228" w:lineRule="auto"/>
        <w:rPr>
          <w:sz w:val="20"/>
          <w:szCs w:val="20"/>
          <w:color w:val="auto"/>
        </w:rPr>
      </w:pPr>
      <w:r>
        <w:rPr>
          <w:rFonts w:ascii="Arial" w:cs="Arial" w:eastAsia="Arial" w:hAnsi="Arial"/>
          <w:sz w:val="20"/>
          <w:szCs w:val="20"/>
          <w:color w:val="auto"/>
        </w:rPr>
        <w:t xml:space="preserve">Barcrest Group Limited </w:t>
      </w:r>
      <w:r>
        <w:rPr>
          <w:rFonts w:ascii="Arial" w:cs="Arial" w:eastAsia="Arial" w:hAnsi="Arial"/>
          <w:sz w:val="21"/>
          <w:szCs w:val="21"/>
          <w:color w:val="auto"/>
        </w:rPr>
        <w:t>(England and Wales)</w:t>
      </w:r>
    </w:p>
    <w:p>
      <w:pPr>
        <w:spacing w:after="0" w:line="231" w:lineRule="auto"/>
        <w:rPr>
          <w:sz w:val="20"/>
          <w:szCs w:val="20"/>
          <w:color w:val="auto"/>
        </w:rPr>
      </w:pPr>
      <w:r>
        <w:rPr>
          <w:rFonts w:ascii="Arial" w:cs="Arial" w:eastAsia="Arial" w:hAnsi="Arial"/>
          <w:sz w:val="20"/>
          <w:szCs w:val="20"/>
          <w:color w:val="auto"/>
        </w:rPr>
        <w:t xml:space="preserve">Beijing </w:t>
      </w:r>
      <w:r>
        <w:rPr>
          <w:rFonts w:ascii="Arial" w:cs="Arial" w:eastAsia="Arial" w:hAnsi="Arial"/>
          <w:sz w:val="21"/>
          <w:szCs w:val="21"/>
          <w:color w:val="auto"/>
        </w:rPr>
        <w:t>Guard Libang Technology Co., Ltd. (China) (50%)</w:t>
      </w:r>
    </w:p>
    <w:p>
      <w:pPr>
        <w:spacing w:after="0" w:line="225" w:lineRule="auto"/>
        <w:rPr>
          <w:sz w:val="20"/>
          <w:szCs w:val="20"/>
          <w:color w:val="auto"/>
        </w:rPr>
      </w:pPr>
      <w:r>
        <w:rPr>
          <w:rFonts w:ascii="Arial" w:cs="Arial" w:eastAsia="Arial" w:hAnsi="Arial"/>
          <w:sz w:val="20"/>
          <w:szCs w:val="20"/>
          <w:color w:val="auto"/>
        </w:rPr>
        <w:t>Bern Merger Sub, Inc. (Nevada)</w:t>
      </w:r>
    </w:p>
    <w:p>
      <w:pPr>
        <w:spacing w:after="0" w:line="226" w:lineRule="auto"/>
        <w:rPr>
          <w:sz w:val="20"/>
          <w:szCs w:val="20"/>
          <w:color w:val="auto"/>
        </w:rPr>
      </w:pPr>
      <w:r>
        <w:rPr>
          <w:rFonts w:ascii="Arial" w:cs="Arial" w:eastAsia="Arial" w:hAnsi="Arial"/>
          <w:sz w:val="20"/>
          <w:szCs w:val="20"/>
          <w:color w:val="auto"/>
        </w:rPr>
        <w:t>Betdigital Ltd (England and Wales)</w:t>
      </w:r>
    </w:p>
    <w:p>
      <w:pPr>
        <w:spacing w:after="0" w:line="225" w:lineRule="auto"/>
        <w:rPr>
          <w:sz w:val="20"/>
          <w:szCs w:val="20"/>
          <w:color w:val="auto"/>
        </w:rPr>
      </w:pPr>
      <w:r>
        <w:rPr>
          <w:rFonts w:ascii="Arial" w:cs="Arial" w:eastAsia="Arial" w:hAnsi="Arial"/>
          <w:sz w:val="20"/>
          <w:szCs w:val="20"/>
          <w:color w:val="auto"/>
        </w:rPr>
        <w:t>Come2Play Ltd. (Israel)*</w:t>
      </w:r>
    </w:p>
    <w:p>
      <w:pPr>
        <w:spacing w:after="0" w:line="226" w:lineRule="auto"/>
        <w:rPr>
          <w:sz w:val="20"/>
          <w:szCs w:val="20"/>
          <w:color w:val="auto"/>
        </w:rPr>
      </w:pPr>
      <w:r>
        <w:rPr>
          <w:rFonts w:ascii="Arial" w:cs="Arial" w:eastAsia="Arial" w:hAnsi="Arial"/>
          <w:sz w:val="20"/>
          <w:szCs w:val="20"/>
          <w:color w:val="auto"/>
        </w:rPr>
        <w:t>Content Media Operations Sweden AB (Sweden)</w:t>
      </w:r>
    </w:p>
    <w:p>
      <w:pPr>
        <w:spacing w:after="0" w:line="225" w:lineRule="auto"/>
        <w:rPr>
          <w:sz w:val="20"/>
          <w:szCs w:val="20"/>
          <w:color w:val="auto"/>
        </w:rPr>
      </w:pPr>
      <w:r>
        <w:rPr>
          <w:rFonts w:ascii="Arial" w:cs="Arial" w:eastAsia="Arial" w:hAnsi="Arial"/>
          <w:sz w:val="20"/>
          <w:szCs w:val="20"/>
          <w:color w:val="auto"/>
        </w:rPr>
        <w:t>Content Media Holding Ltd (Malta)</w:t>
      </w:r>
    </w:p>
    <w:p>
      <w:pPr>
        <w:spacing w:after="0" w:line="225" w:lineRule="auto"/>
        <w:rPr>
          <w:sz w:val="20"/>
          <w:szCs w:val="20"/>
          <w:color w:val="auto"/>
        </w:rPr>
      </w:pPr>
      <w:r>
        <w:rPr>
          <w:rFonts w:ascii="Arial" w:cs="Arial" w:eastAsia="Arial" w:hAnsi="Arial"/>
          <w:sz w:val="20"/>
          <w:szCs w:val="20"/>
          <w:color w:val="auto"/>
        </w:rPr>
        <w:t>Cryptologic (Asia Pacific) Pte. Ltd. (Singapore)</w:t>
      </w:r>
    </w:p>
    <w:p>
      <w:pPr>
        <w:spacing w:after="0" w:line="226" w:lineRule="auto"/>
        <w:rPr>
          <w:sz w:val="20"/>
          <w:szCs w:val="20"/>
          <w:color w:val="auto"/>
        </w:rPr>
      </w:pPr>
      <w:r>
        <w:rPr>
          <w:rFonts w:ascii="Arial" w:cs="Arial" w:eastAsia="Arial" w:hAnsi="Arial"/>
          <w:sz w:val="20"/>
          <w:szCs w:val="20"/>
          <w:color w:val="auto"/>
        </w:rPr>
        <w:t>CryptoLogic Callco ULC (Nova Scotia, Canada)</w:t>
      </w:r>
    </w:p>
    <w:p>
      <w:pPr>
        <w:spacing w:after="0" w:line="225" w:lineRule="auto"/>
        <w:rPr>
          <w:sz w:val="20"/>
          <w:szCs w:val="20"/>
          <w:color w:val="auto"/>
        </w:rPr>
      </w:pPr>
      <w:r>
        <w:rPr>
          <w:rFonts w:ascii="Arial" w:cs="Arial" w:eastAsia="Arial" w:hAnsi="Arial"/>
          <w:sz w:val="20"/>
          <w:szCs w:val="20"/>
          <w:color w:val="auto"/>
        </w:rPr>
        <w:t>Cryptologic Exchange Corporation (Ontario, Canada)</w:t>
      </w:r>
    </w:p>
    <w:p>
      <w:pPr>
        <w:spacing w:after="0" w:line="226" w:lineRule="auto"/>
        <w:rPr>
          <w:sz w:val="20"/>
          <w:szCs w:val="20"/>
          <w:color w:val="auto"/>
        </w:rPr>
      </w:pPr>
      <w:r>
        <w:rPr>
          <w:rFonts w:ascii="Arial" w:cs="Arial" w:eastAsia="Arial" w:hAnsi="Arial"/>
          <w:sz w:val="20"/>
          <w:szCs w:val="20"/>
          <w:color w:val="auto"/>
        </w:rPr>
        <w:t>Cryptologic Inc. (Ontario, Canada)</w:t>
      </w:r>
    </w:p>
    <w:p>
      <w:pPr>
        <w:spacing w:after="0" w:line="222" w:lineRule="auto"/>
        <w:rPr>
          <w:sz w:val="20"/>
          <w:szCs w:val="20"/>
          <w:color w:val="auto"/>
        </w:rPr>
      </w:pPr>
      <w:r>
        <w:rPr>
          <w:rFonts w:ascii="Arial" w:cs="Arial" w:eastAsia="Arial" w:hAnsi="Arial"/>
          <w:sz w:val="20"/>
          <w:szCs w:val="20"/>
          <w:color w:val="auto"/>
        </w:rPr>
        <w:t>Cryptologic Limited (Guernsey)</w:t>
      </w:r>
    </w:p>
    <w:p>
      <w:pPr>
        <w:spacing w:after="0" w:line="231" w:lineRule="auto"/>
        <w:rPr>
          <w:sz w:val="20"/>
          <w:szCs w:val="20"/>
          <w:color w:val="auto"/>
        </w:rPr>
      </w:pPr>
      <w:r>
        <w:rPr>
          <w:rFonts w:ascii="Arial" w:cs="Arial" w:eastAsia="Arial" w:hAnsi="Arial"/>
          <w:sz w:val="20"/>
          <w:szCs w:val="20"/>
          <w:color w:val="auto"/>
        </w:rPr>
        <w:t xml:space="preserve">Customized Games Limited </w:t>
      </w:r>
      <w:r>
        <w:rPr>
          <w:rFonts w:ascii="Arial" w:cs="Arial" w:eastAsia="Arial" w:hAnsi="Arial"/>
          <w:sz w:val="21"/>
          <w:szCs w:val="21"/>
          <w:color w:val="auto"/>
        </w:rPr>
        <w:t>(England and Wales)</w:t>
      </w:r>
    </w:p>
    <w:p>
      <w:pPr>
        <w:spacing w:after="0" w:line="225" w:lineRule="auto"/>
        <w:rPr>
          <w:sz w:val="20"/>
          <w:szCs w:val="20"/>
          <w:color w:val="auto"/>
        </w:rPr>
      </w:pPr>
      <w:r>
        <w:rPr>
          <w:rFonts w:ascii="Arial" w:cs="Arial" w:eastAsia="Arial" w:hAnsi="Arial"/>
          <w:sz w:val="20"/>
          <w:szCs w:val="20"/>
          <w:color w:val="auto"/>
        </w:rPr>
        <w:t>Davisville Game Studio Inc. (Ontario, Canada)</w:t>
      </w:r>
    </w:p>
    <w:p>
      <w:pPr>
        <w:spacing w:after="0" w:line="226" w:lineRule="auto"/>
        <w:rPr>
          <w:sz w:val="20"/>
          <w:szCs w:val="20"/>
          <w:color w:val="auto"/>
        </w:rPr>
      </w:pPr>
      <w:r>
        <w:rPr>
          <w:rFonts w:ascii="Arial" w:cs="Arial" w:eastAsia="Arial" w:hAnsi="Arial"/>
          <w:sz w:val="20"/>
          <w:szCs w:val="20"/>
          <w:color w:val="auto"/>
        </w:rPr>
        <w:t>DBS Canada Corporation (Ontario, Canada)</w:t>
      </w:r>
    </w:p>
    <w:p>
      <w:pPr>
        <w:spacing w:after="0" w:line="225" w:lineRule="auto"/>
        <w:rPr>
          <w:sz w:val="20"/>
          <w:szCs w:val="20"/>
          <w:color w:val="auto"/>
        </w:rPr>
      </w:pPr>
      <w:r>
        <w:rPr>
          <w:rFonts w:ascii="Arial" w:cs="Arial" w:eastAsia="Arial" w:hAnsi="Arial"/>
          <w:sz w:val="20"/>
          <w:szCs w:val="20"/>
          <w:color w:val="auto"/>
        </w:rPr>
        <w:t>DMWSL 699 Limited (England and Wales)</w:t>
      </w:r>
    </w:p>
    <w:p>
      <w:pPr>
        <w:spacing w:after="0" w:line="226" w:lineRule="auto"/>
        <w:rPr>
          <w:sz w:val="20"/>
          <w:szCs w:val="20"/>
          <w:color w:val="auto"/>
        </w:rPr>
      </w:pPr>
      <w:r>
        <w:rPr>
          <w:rFonts w:ascii="Arial" w:cs="Arial" w:eastAsia="Arial" w:hAnsi="Arial"/>
          <w:sz w:val="20"/>
          <w:szCs w:val="20"/>
          <w:color w:val="auto"/>
        </w:rPr>
        <w:t>Don Best Sports Corporation (Nevada)</w:t>
      </w:r>
    </w:p>
    <w:p>
      <w:pPr>
        <w:spacing w:after="0" w:line="225" w:lineRule="auto"/>
        <w:rPr>
          <w:sz w:val="20"/>
          <w:szCs w:val="20"/>
          <w:color w:val="auto"/>
        </w:rPr>
      </w:pPr>
      <w:r>
        <w:rPr>
          <w:rFonts w:ascii="Arial" w:cs="Arial" w:eastAsia="Arial" w:hAnsi="Arial"/>
          <w:sz w:val="20"/>
          <w:szCs w:val="20"/>
          <w:color w:val="auto"/>
        </w:rPr>
        <w:t>Dragonplay Ltd (Israel)*</w:t>
      </w:r>
    </w:p>
    <w:p>
      <w:pPr>
        <w:spacing w:after="0" w:line="225" w:lineRule="auto"/>
        <w:rPr>
          <w:sz w:val="20"/>
          <w:szCs w:val="20"/>
          <w:color w:val="auto"/>
        </w:rPr>
      </w:pPr>
      <w:r>
        <w:rPr>
          <w:rFonts w:ascii="Arial" w:cs="Arial" w:eastAsia="Arial" w:hAnsi="Arial"/>
          <w:sz w:val="20"/>
          <w:szCs w:val="20"/>
          <w:color w:val="auto"/>
        </w:rPr>
        <w:t>ELKAB Studios AB (Sweden)</w:t>
      </w:r>
    </w:p>
    <w:p>
      <w:pPr>
        <w:spacing w:after="0" w:line="226" w:lineRule="auto"/>
        <w:rPr>
          <w:sz w:val="20"/>
          <w:szCs w:val="20"/>
          <w:color w:val="auto"/>
        </w:rPr>
      </w:pPr>
      <w:r>
        <w:rPr>
          <w:rFonts w:ascii="Arial" w:cs="Arial" w:eastAsia="Arial" w:hAnsi="Arial"/>
          <w:sz w:val="20"/>
          <w:szCs w:val="20"/>
          <w:color w:val="auto"/>
        </w:rPr>
        <w:t>ELK Studios Malta Ltd (Malta)</w:t>
      </w:r>
    </w:p>
    <w:p>
      <w:pPr>
        <w:spacing w:after="0" w:line="225" w:lineRule="auto"/>
        <w:rPr>
          <w:sz w:val="20"/>
          <w:szCs w:val="20"/>
          <w:color w:val="auto"/>
        </w:rPr>
      </w:pPr>
      <w:r>
        <w:rPr>
          <w:rFonts w:ascii="Arial" w:cs="Arial" w:eastAsia="Arial" w:hAnsi="Arial"/>
          <w:sz w:val="20"/>
          <w:szCs w:val="20"/>
          <w:color w:val="auto"/>
        </w:rPr>
        <w:t>E-SYS Tecnologia Em Informàtica S.A. (Brazil) (70%)</w:t>
      </w:r>
    </w:p>
    <w:p>
      <w:pPr>
        <w:spacing w:after="0" w:line="226" w:lineRule="auto"/>
        <w:rPr>
          <w:sz w:val="20"/>
          <w:szCs w:val="20"/>
          <w:color w:val="auto"/>
        </w:rPr>
      </w:pPr>
      <w:r>
        <w:rPr>
          <w:rFonts w:ascii="Arial" w:cs="Arial" w:eastAsia="Arial" w:hAnsi="Arial"/>
          <w:sz w:val="20"/>
          <w:szCs w:val="20"/>
          <w:color w:val="auto"/>
        </w:rPr>
        <w:t>Estrela Instantânea Loteria SPE S.A. (Brazil) (50%)</w:t>
      </w:r>
    </w:p>
    <w:p>
      <w:pPr>
        <w:spacing w:after="0" w:line="222" w:lineRule="auto"/>
        <w:rPr>
          <w:sz w:val="20"/>
          <w:szCs w:val="20"/>
          <w:color w:val="auto"/>
        </w:rPr>
      </w:pPr>
      <w:r>
        <w:rPr>
          <w:rFonts w:ascii="Arial" w:cs="Arial" w:eastAsia="Arial" w:hAnsi="Arial"/>
          <w:sz w:val="20"/>
          <w:szCs w:val="20"/>
          <w:color w:val="auto"/>
        </w:rPr>
        <w:t>Game360 S.R.L. (Italy)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Gaming Products Pty Ltd </w:t>
      </w:r>
      <w:r>
        <w:rPr>
          <w:rFonts w:ascii="Arial" w:cs="Arial" w:eastAsia="Arial" w:hAnsi="Arial"/>
          <w:sz w:val="21"/>
          <w:szCs w:val="21"/>
          <w:color w:val="auto"/>
        </w:rPr>
        <w:t>(Australia)</w:t>
      </w:r>
    </w:p>
    <w:p>
      <w:pPr>
        <w:sectPr>
          <w:pgSz w:w="11900" w:h="16838" w:orient="portrait"/>
          <w:cols w:equalWidth="0" w:num="1">
            <w:col w:w="11240"/>
          </w:cols>
          <w:pgMar w:left="320" w:top="118" w:right="339" w:bottom="1440" w:gutter="0" w:footer="0" w:header="0"/>
        </w:sectPr>
      </w:pPr>
    </w:p>
    <w:bookmarkStart w:id="205" w:name="page206"/>
    <w:bookmarkEnd w:id="205"/>
    <w:p>
      <w:pPr>
        <w:spacing w:after="0"/>
        <w:rPr>
          <w:sz w:val="20"/>
          <w:szCs w:val="20"/>
          <w:color w:val="auto"/>
        </w:rPr>
      </w:pPr>
      <w:r>
        <w:rPr>
          <w:rFonts w:ascii="Arial" w:cs="Arial" w:eastAsia="Arial" w:hAnsi="Arial"/>
          <w:sz w:val="20"/>
          <w:szCs w:val="20"/>
          <w:color w:val="auto"/>
        </w:rPr>
        <w:t xml:space="preserve">Global Draw Limited </w:t>
      </w:r>
      <w:r>
        <w:rPr>
          <w:rFonts w:ascii="Arial" w:cs="Arial" w:eastAsia="Arial" w:hAnsi="Arial"/>
          <w:sz w:val="21"/>
          <w:szCs w:val="21"/>
          <w:color w:val="auto"/>
        </w:rPr>
        <w:t>(England and Wales)</w:t>
      </w:r>
    </w:p>
    <w:p>
      <w:pPr>
        <w:spacing w:after="0" w:line="236" w:lineRule="auto"/>
        <w:rPr>
          <w:sz w:val="20"/>
          <w:szCs w:val="20"/>
          <w:color w:val="auto"/>
        </w:rPr>
      </w:pPr>
      <w:r>
        <w:rPr>
          <w:rFonts w:ascii="Arial" w:cs="Arial" w:eastAsia="Arial" w:hAnsi="Arial"/>
          <w:sz w:val="20"/>
          <w:szCs w:val="20"/>
          <w:color w:val="auto"/>
        </w:rPr>
        <w:t xml:space="preserve">Happy Sun Technologies Ltd. </w:t>
      </w:r>
      <w:r>
        <w:rPr>
          <w:rFonts w:ascii="Arial" w:cs="Arial" w:eastAsia="Arial" w:hAnsi="Arial"/>
          <w:sz w:val="21"/>
          <w:szCs w:val="21"/>
          <w:color w:val="auto"/>
        </w:rPr>
        <w:t>(British Virgin Islands) (50%)</w:t>
      </w:r>
    </w:p>
    <w:p>
      <w:pPr>
        <w:spacing w:after="0" w:line="223" w:lineRule="auto"/>
        <w:rPr>
          <w:sz w:val="20"/>
          <w:szCs w:val="20"/>
          <w:color w:val="auto"/>
        </w:rPr>
      </w:pPr>
      <w:r>
        <w:rPr>
          <w:rFonts w:ascii="Arial" w:cs="Arial" w:eastAsia="Arial" w:hAnsi="Arial"/>
          <w:sz w:val="20"/>
          <w:szCs w:val="20"/>
          <w:color w:val="auto"/>
        </w:rPr>
        <w:t>Hillbeck Trading Limited (Cyprus)</w:t>
      </w:r>
    </w:p>
    <w:p>
      <w:pPr>
        <w:spacing w:after="0" w:line="228" w:lineRule="auto"/>
        <w:rPr>
          <w:sz w:val="20"/>
          <w:szCs w:val="20"/>
          <w:color w:val="auto"/>
        </w:rPr>
      </w:pPr>
      <w:r>
        <w:rPr>
          <w:rFonts w:ascii="Arial" w:cs="Arial" w:eastAsia="Arial" w:hAnsi="Arial"/>
          <w:sz w:val="20"/>
          <w:szCs w:val="20"/>
          <w:color w:val="auto"/>
        </w:rPr>
        <w:t xml:space="preserve">International Terminal Leasing </w:t>
      </w:r>
      <w:r>
        <w:rPr>
          <w:rFonts w:ascii="Arial" w:cs="Arial" w:eastAsia="Arial" w:hAnsi="Arial"/>
          <w:sz w:val="21"/>
          <w:szCs w:val="21"/>
          <w:color w:val="auto"/>
        </w:rPr>
        <w:t>(Bermuda) (80%)</w:t>
      </w:r>
    </w:p>
    <w:p>
      <w:pPr>
        <w:spacing w:after="0" w:line="228" w:lineRule="auto"/>
        <w:rPr>
          <w:sz w:val="20"/>
          <w:szCs w:val="20"/>
          <w:color w:val="auto"/>
        </w:rPr>
      </w:pPr>
      <w:r>
        <w:rPr>
          <w:rFonts w:ascii="Arial" w:cs="Arial" w:eastAsia="Arial" w:hAnsi="Arial"/>
          <w:sz w:val="20"/>
          <w:szCs w:val="20"/>
          <w:color w:val="auto"/>
        </w:rPr>
        <w:t xml:space="preserve">Jadestone </w:t>
      </w:r>
      <w:r>
        <w:rPr>
          <w:rFonts w:ascii="Arial" w:cs="Arial" w:eastAsia="Arial" w:hAnsi="Arial"/>
          <w:sz w:val="21"/>
          <w:szCs w:val="21"/>
          <w:color w:val="auto"/>
        </w:rPr>
        <w:t>Group AB (Sweden)</w:t>
      </w:r>
    </w:p>
    <w:p>
      <w:pPr>
        <w:spacing w:after="0" w:line="228" w:lineRule="auto"/>
        <w:rPr>
          <w:sz w:val="20"/>
          <w:szCs w:val="20"/>
          <w:color w:val="auto"/>
        </w:rPr>
      </w:pPr>
      <w:r>
        <w:rPr>
          <w:rFonts w:ascii="Arial" w:cs="Arial" w:eastAsia="Arial" w:hAnsi="Arial"/>
          <w:sz w:val="20"/>
          <w:szCs w:val="20"/>
          <w:color w:val="auto"/>
        </w:rPr>
        <w:t xml:space="preserve">Jadestone </w:t>
      </w:r>
      <w:r>
        <w:rPr>
          <w:rFonts w:ascii="Arial" w:cs="Arial" w:eastAsia="Arial" w:hAnsi="Arial"/>
          <w:sz w:val="21"/>
          <w:szCs w:val="21"/>
          <w:color w:val="auto"/>
        </w:rPr>
        <w:t>Networks</w:t>
      </w:r>
      <w:r>
        <w:rPr>
          <w:rFonts w:ascii="Arial" w:cs="Arial" w:eastAsia="Arial" w:hAnsi="Arial"/>
          <w:sz w:val="20"/>
          <w:szCs w:val="20"/>
          <w:color w:val="auto"/>
        </w:rPr>
        <w:t xml:space="preserve"> (Malta) Limited (Malta)</w:t>
      </w:r>
    </w:p>
    <w:p>
      <w:pPr>
        <w:spacing w:after="0" w:line="231" w:lineRule="auto"/>
        <w:rPr>
          <w:sz w:val="20"/>
          <w:szCs w:val="20"/>
          <w:color w:val="auto"/>
        </w:rPr>
      </w:pPr>
      <w:r>
        <w:rPr>
          <w:rFonts w:ascii="Arial" w:cs="Arial" w:eastAsia="Arial" w:hAnsi="Arial"/>
          <w:sz w:val="20"/>
          <w:szCs w:val="20"/>
          <w:color w:val="auto"/>
        </w:rPr>
        <w:t xml:space="preserve">Knightway </w:t>
      </w:r>
      <w:r>
        <w:rPr>
          <w:rFonts w:ascii="Arial" w:cs="Arial" w:eastAsia="Arial" w:hAnsi="Arial"/>
          <w:sz w:val="21"/>
          <w:szCs w:val="21"/>
          <w:color w:val="auto"/>
        </w:rPr>
        <w:t>Promotions</w:t>
      </w:r>
      <w:r>
        <w:rPr>
          <w:rFonts w:ascii="Arial" w:cs="Arial" w:eastAsia="Arial" w:hAnsi="Arial"/>
          <w:sz w:val="20"/>
          <w:szCs w:val="20"/>
          <w:color w:val="auto"/>
        </w:rPr>
        <w:t xml:space="preserve"> Limited </w:t>
      </w:r>
      <w:r>
        <w:rPr>
          <w:rFonts w:ascii="Arial" w:cs="Arial" w:eastAsia="Arial" w:hAnsi="Arial"/>
          <w:sz w:val="21"/>
          <w:szCs w:val="21"/>
          <w:color w:val="auto"/>
        </w:rPr>
        <w:t>(England and Wales)</w:t>
      </w:r>
    </w:p>
    <w:p>
      <w:pPr>
        <w:spacing w:after="0" w:line="225" w:lineRule="auto"/>
        <w:rPr>
          <w:sz w:val="20"/>
          <w:szCs w:val="20"/>
          <w:color w:val="auto"/>
        </w:rPr>
      </w:pPr>
      <w:r>
        <w:rPr>
          <w:rFonts w:ascii="Arial" w:cs="Arial" w:eastAsia="Arial" w:hAnsi="Arial"/>
          <w:sz w:val="20"/>
          <w:szCs w:val="20"/>
          <w:color w:val="auto"/>
        </w:rPr>
        <w:t>Koukoi Games Oy (Finland)*</w:t>
      </w:r>
    </w:p>
    <w:p>
      <w:pPr>
        <w:spacing w:after="0" w:line="226" w:lineRule="auto"/>
        <w:rPr>
          <w:sz w:val="20"/>
          <w:szCs w:val="20"/>
          <w:color w:val="auto"/>
        </w:rPr>
      </w:pPr>
      <w:r>
        <w:rPr>
          <w:rFonts w:ascii="Arial" w:cs="Arial" w:eastAsia="Arial" w:hAnsi="Arial"/>
          <w:sz w:val="20"/>
          <w:szCs w:val="20"/>
          <w:color w:val="auto"/>
        </w:rPr>
        <w:t>Les Studios Side City Inc./Side City Studios Inc. (Canada)</w:t>
      </w:r>
    </w:p>
    <w:p>
      <w:pPr>
        <w:spacing w:after="0" w:line="222" w:lineRule="auto"/>
        <w:rPr>
          <w:sz w:val="20"/>
          <w:szCs w:val="20"/>
          <w:color w:val="auto"/>
        </w:rPr>
      </w:pPr>
      <w:r>
        <w:rPr>
          <w:rFonts w:ascii="Arial" w:cs="Arial" w:eastAsia="Arial" w:hAnsi="Arial"/>
          <w:sz w:val="20"/>
          <w:szCs w:val="20"/>
          <w:color w:val="auto"/>
        </w:rPr>
        <w:t>Lightning Box Games Pty Limited (Australia)</w:t>
      </w:r>
    </w:p>
    <w:p>
      <w:pPr>
        <w:spacing w:after="0" w:line="231" w:lineRule="auto"/>
        <w:rPr>
          <w:sz w:val="20"/>
          <w:szCs w:val="20"/>
          <w:color w:val="auto"/>
        </w:rPr>
      </w:pPr>
      <w:r>
        <w:rPr>
          <w:rFonts w:ascii="Arial" w:cs="Arial" w:eastAsia="Arial" w:hAnsi="Arial"/>
          <w:sz w:val="20"/>
          <w:szCs w:val="20"/>
          <w:color w:val="auto"/>
        </w:rPr>
        <w:t xml:space="preserve">MDI </w:t>
      </w:r>
      <w:r>
        <w:rPr>
          <w:rFonts w:ascii="Arial" w:cs="Arial" w:eastAsia="Arial" w:hAnsi="Arial"/>
          <w:sz w:val="21"/>
          <w:szCs w:val="21"/>
          <w:color w:val="auto"/>
        </w:rPr>
        <w:t>Entertainment, LLC (Delaware)</w:t>
      </w:r>
    </w:p>
    <w:p>
      <w:pPr>
        <w:spacing w:after="0" w:line="225" w:lineRule="auto"/>
        <w:rPr>
          <w:sz w:val="20"/>
          <w:szCs w:val="20"/>
          <w:color w:val="auto"/>
        </w:rPr>
      </w:pPr>
      <w:r>
        <w:rPr>
          <w:rFonts w:ascii="Arial" w:cs="Arial" w:eastAsia="Arial" w:hAnsi="Arial"/>
          <w:sz w:val="20"/>
          <w:szCs w:val="20"/>
          <w:color w:val="auto"/>
        </w:rPr>
        <w:t>N T Media Limited (England and Wales)</w:t>
      </w:r>
    </w:p>
    <w:p>
      <w:pPr>
        <w:spacing w:after="0" w:line="226" w:lineRule="auto"/>
        <w:rPr>
          <w:sz w:val="20"/>
          <w:szCs w:val="20"/>
          <w:color w:val="auto"/>
        </w:rPr>
      </w:pPr>
      <w:r>
        <w:rPr>
          <w:rFonts w:ascii="Arial" w:cs="Arial" w:eastAsia="Arial" w:hAnsi="Arial"/>
          <w:sz w:val="20"/>
          <w:szCs w:val="20"/>
          <w:color w:val="auto"/>
        </w:rPr>
        <w:t>NextGen Gaming (USA) LLC (Nevada)</w:t>
      </w:r>
    </w:p>
    <w:p>
      <w:pPr>
        <w:spacing w:after="0" w:line="225" w:lineRule="auto"/>
        <w:rPr>
          <w:sz w:val="20"/>
          <w:szCs w:val="20"/>
          <w:color w:val="auto"/>
        </w:rPr>
      </w:pPr>
      <w:r>
        <w:rPr>
          <w:rFonts w:ascii="Arial" w:cs="Arial" w:eastAsia="Arial" w:hAnsi="Arial"/>
          <w:sz w:val="20"/>
          <w:szCs w:val="20"/>
          <w:color w:val="auto"/>
        </w:rPr>
        <w:t>NextGen Gaming Pty Ltd (Australia)</w:t>
      </w:r>
    </w:p>
    <w:p>
      <w:pPr>
        <w:spacing w:after="0" w:line="226" w:lineRule="auto"/>
        <w:rPr>
          <w:sz w:val="20"/>
          <w:szCs w:val="20"/>
          <w:color w:val="auto"/>
        </w:rPr>
      </w:pPr>
      <w:r>
        <w:rPr>
          <w:rFonts w:ascii="Arial" w:cs="Arial" w:eastAsia="Arial" w:hAnsi="Arial"/>
          <w:sz w:val="20"/>
          <w:szCs w:val="20"/>
          <w:color w:val="auto"/>
        </w:rPr>
        <w:t>NYX Digital Gaming (Alberta) Inc. (Alberta, Canada)</w:t>
      </w:r>
    </w:p>
    <w:p>
      <w:pPr>
        <w:spacing w:after="0" w:line="225" w:lineRule="auto"/>
        <w:rPr>
          <w:sz w:val="20"/>
          <w:szCs w:val="20"/>
          <w:color w:val="auto"/>
        </w:rPr>
      </w:pPr>
      <w:r>
        <w:rPr>
          <w:rFonts w:ascii="Arial" w:cs="Arial" w:eastAsia="Arial" w:hAnsi="Arial"/>
          <w:sz w:val="20"/>
          <w:szCs w:val="20"/>
          <w:color w:val="auto"/>
        </w:rPr>
        <w:t>NYX Digital Gaming (Alderney) Limited (Alderney)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NYX Digital Gaming (Betdigital Holdings) Limited (England and Wales)</w:t>
      </w:r>
    </w:p>
    <w:p>
      <w:pPr>
        <w:spacing w:after="0" w:line="234" w:lineRule="auto"/>
        <w:rPr>
          <w:sz w:val="20"/>
          <w:szCs w:val="20"/>
          <w:color w:val="auto"/>
        </w:rPr>
      </w:pPr>
      <w:r>
        <w:rPr>
          <w:rFonts w:ascii="Arial" w:cs="Arial" w:eastAsia="Arial" w:hAnsi="Arial"/>
          <w:sz w:val="20"/>
          <w:szCs w:val="20"/>
          <w:color w:val="auto"/>
        </w:rPr>
        <w:t>NYX Digital Gaming (Canada) ULC (British Columbia, Canada)</w:t>
      </w:r>
    </w:p>
    <w:p>
      <w:pPr>
        <w:spacing w:after="0" w:line="226" w:lineRule="auto"/>
        <w:rPr>
          <w:sz w:val="20"/>
          <w:szCs w:val="20"/>
          <w:color w:val="auto"/>
        </w:rPr>
      </w:pPr>
      <w:r>
        <w:rPr>
          <w:rFonts w:ascii="Arial" w:cs="Arial" w:eastAsia="Arial" w:hAnsi="Arial"/>
          <w:sz w:val="20"/>
          <w:szCs w:val="20"/>
          <w:color w:val="auto"/>
        </w:rPr>
        <w:t>NYX Digital Gaming (Gibraltar II) Limited (Gibraltar)</w:t>
      </w:r>
    </w:p>
    <w:p>
      <w:pPr>
        <w:spacing w:after="0" w:line="225" w:lineRule="auto"/>
        <w:rPr>
          <w:sz w:val="20"/>
          <w:szCs w:val="20"/>
          <w:color w:val="auto"/>
        </w:rPr>
      </w:pPr>
      <w:r>
        <w:rPr>
          <w:rFonts w:ascii="Arial" w:cs="Arial" w:eastAsia="Arial" w:hAnsi="Arial"/>
          <w:sz w:val="20"/>
          <w:szCs w:val="20"/>
          <w:color w:val="auto"/>
        </w:rPr>
        <w:t>NYX Digital Gaming (Guernsey) Limited (Guernsey)</w:t>
      </w:r>
    </w:p>
    <w:p>
      <w:pPr>
        <w:spacing w:after="0" w:line="226" w:lineRule="auto"/>
        <w:rPr>
          <w:sz w:val="20"/>
          <w:szCs w:val="20"/>
          <w:color w:val="auto"/>
        </w:rPr>
      </w:pPr>
      <w:r>
        <w:rPr>
          <w:rFonts w:ascii="Arial" w:cs="Arial" w:eastAsia="Arial" w:hAnsi="Arial"/>
          <w:sz w:val="20"/>
          <w:szCs w:val="20"/>
          <w:color w:val="auto"/>
        </w:rPr>
        <w:t>NYX Digital Gaming (Malta Holdings) Limited (Malta)</w:t>
      </w:r>
    </w:p>
    <w:p>
      <w:pPr>
        <w:spacing w:after="0" w:line="225" w:lineRule="auto"/>
        <w:rPr>
          <w:sz w:val="20"/>
          <w:szCs w:val="20"/>
          <w:color w:val="auto"/>
        </w:rPr>
      </w:pPr>
      <w:r>
        <w:rPr>
          <w:rFonts w:ascii="Arial" w:cs="Arial" w:eastAsia="Arial" w:hAnsi="Arial"/>
          <w:sz w:val="20"/>
          <w:szCs w:val="20"/>
          <w:color w:val="auto"/>
        </w:rPr>
        <w:t>NYX Digital Gaming (OB Holdings) Limited (England and Wales)</w:t>
      </w:r>
    </w:p>
    <w:p>
      <w:pPr>
        <w:spacing w:after="0" w:line="225" w:lineRule="auto"/>
        <w:rPr>
          <w:sz w:val="20"/>
          <w:szCs w:val="20"/>
          <w:color w:val="auto"/>
        </w:rPr>
      </w:pPr>
      <w:r>
        <w:rPr>
          <w:rFonts w:ascii="Arial" w:cs="Arial" w:eastAsia="Arial" w:hAnsi="Arial"/>
          <w:sz w:val="20"/>
          <w:szCs w:val="20"/>
          <w:color w:val="auto"/>
        </w:rPr>
        <w:t>NYX Digital Gaming (OB SPV) Limited (England and Wales)</w:t>
      </w:r>
    </w:p>
    <w:p>
      <w:pPr>
        <w:spacing w:after="0" w:line="226" w:lineRule="auto"/>
        <w:rPr>
          <w:sz w:val="20"/>
          <w:szCs w:val="20"/>
          <w:color w:val="auto"/>
        </w:rPr>
      </w:pPr>
      <w:r>
        <w:rPr>
          <w:rFonts w:ascii="Arial" w:cs="Arial" w:eastAsia="Arial" w:hAnsi="Arial"/>
          <w:sz w:val="20"/>
          <w:szCs w:val="20"/>
          <w:color w:val="auto"/>
        </w:rPr>
        <w:t>NYX Digital Gaming (USA), LLC (Nevada)</w:t>
      </w:r>
    </w:p>
    <w:p>
      <w:pPr>
        <w:spacing w:after="0" w:line="225" w:lineRule="auto"/>
        <w:rPr>
          <w:sz w:val="20"/>
          <w:szCs w:val="20"/>
          <w:color w:val="auto"/>
        </w:rPr>
      </w:pPr>
      <w:r>
        <w:rPr>
          <w:rFonts w:ascii="Arial" w:cs="Arial" w:eastAsia="Arial" w:hAnsi="Arial"/>
          <w:sz w:val="20"/>
          <w:szCs w:val="20"/>
          <w:color w:val="auto"/>
        </w:rPr>
        <w:t>NYX Gaming (Krakow) sp. z o.o. (Poland)</w:t>
      </w:r>
    </w:p>
    <w:p>
      <w:pPr>
        <w:spacing w:after="0" w:line="226" w:lineRule="auto"/>
        <w:rPr>
          <w:sz w:val="20"/>
          <w:szCs w:val="20"/>
          <w:color w:val="auto"/>
        </w:rPr>
      </w:pPr>
      <w:r>
        <w:rPr>
          <w:rFonts w:ascii="Arial" w:cs="Arial" w:eastAsia="Arial" w:hAnsi="Arial"/>
          <w:sz w:val="20"/>
          <w:szCs w:val="20"/>
          <w:color w:val="auto"/>
        </w:rPr>
        <w:t>NYX Gaming Group LLC (Nevada)</w:t>
      </w:r>
    </w:p>
    <w:p>
      <w:pPr>
        <w:spacing w:after="0" w:line="225" w:lineRule="auto"/>
        <w:rPr>
          <w:sz w:val="20"/>
          <w:szCs w:val="20"/>
          <w:color w:val="auto"/>
        </w:rPr>
      </w:pPr>
      <w:r>
        <w:rPr>
          <w:rFonts w:ascii="Arial" w:cs="Arial" w:eastAsia="Arial" w:hAnsi="Arial"/>
          <w:sz w:val="20"/>
          <w:szCs w:val="20"/>
          <w:color w:val="auto"/>
        </w:rPr>
        <w:t>NYX Interactive AB (Sweden)</w:t>
      </w:r>
    </w:p>
    <w:p>
      <w:pPr>
        <w:spacing w:after="0" w:line="225" w:lineRule="auto"/>
        <w:rPr>
          <w:sz w:val="20"/>
          <w:szCs w:val="20"/>
          <w:color w:val="auto"/>
        </w:rPr>
      </w:pPr>
      <w:r>
        <w:rPr>
          <w:rFonts w:ascii="Arial" w:cs="Arial" w:eastAsia="Arial" w:hAnsi="Arial"/>
          <w:sz w:val="20"/>
          <w:szCs w:val="20"/>
          <w:color w:val="auto"/>
        </w:rPr>
        <w:t>OB Acquisition Limited (England and Wales)</w:t>
      </w:r>
    </w:p>
    <w:p>
      <w:pPr>
        <w:spacing w:after="0" w:line="226" w:lineRule="auto"/>
        <w:rPr>
          <w:sz w:val="20"/>
          <w:szCs w:val="20"/>
          <w:color w:val="auto"/>
        </w:rPr>
      </w:pPr>
      <w:r>
        <w:rPr>
          <w:rFonts w:ascii="Arial" w:cs="Arial" w:eastAsia="Arial" w:hAnsi="Arial"/>
          <w:sz w:val="20"/>
          <w:szCs w:val="20"/>
          <w:color w:val="auto"/>
        </w:rPr>
        <w:t>OB Financing Limited (England and Wales)</w:t>
      </w:r>
    </w:p>
    <w:p>
      <w:pPr>
        <w:spacing w:after="0" w:line="225" w:lineRule="auto"/>
        <w:rPr>
          <w:sz w:val="20"/>
          <w:szCs w:val="20"/>
          <w:color w:val="auto"/>
        </w:rPr>
      </w:pPr>
      <w:r>
        <w:rPr>
          <w:rFonts w:ascii="Arial" w:cs="Arial" w:eastAsia="Arial" w:hAnsi="Arial"/>
          <w:sz w:val="20"/>
          <w:szCs w:val="20"/>
          <w:color w:val="auto"/>
        </w:rPr>
        <w:t>OB Midco Limited (England and Wales)</w:t>
      </w:r>
    </w:p>
    <w:p>
      <w:pPr>
        <w:spacing w:after="0" w:line="226" w:lineRule="auto"/>
        <w:rPr>
          <w:sz w:val="20"/>
          <w:szCs w:val="20"/>
          <w:color w:val="auto"/>
        </w:rPr>
      </w:pPr>
      <w:r>
        <w:rPr>
          <w:rFonts w:ascii="Arial" w:cs="Arial" w:eastAsia="Arial" w:hAnsi="Arial"/>
          <w:sz w:val="20"/>
          <w:szCs w:val="20"/>
          <w:color w:val="auto"/>
        </w:rPr>
        <w:t>OB Topco Limited (England and Wales)</w:t>
      </w:r>
    </w:p>
    <w:p>
      <w:pPr>
        <w:spacing w:after="0" w:line="225" w:lineRule="auto"/>
        <w:rPr>
          <w:sz w:val="20"/>
          <w:szCs w:val="20"/>
          <w:color w:val="auto"/>
        </w:rPr>
      </w:pPr>
      <w:r>
        <w:rPr>
          <w:rFonts w:ascii="Arial" w:cs="Arial" w:eastAsia="Arial" w:hAnsi="Arial"/>
          <w:sz w:val="20"/>
          <w:szCs w:val="20"/>
          <w:color w:val="auto"/>
        </w:rPr>
        <w:t>OnGame Network Limited (Gibraltar)</w:t>
      </w:r>
    </w:p>
    <w:p>
      <w:pPr>
        <w:spacing w:after="0" w:line="226" w:lineRule="auto"/>
        <w:rPr>
          <w:sz w:val="20"/>
          <w:szCs w:val="20"/>
          <w:color w:val="auto"/>
        </w:rPr>
      </w:pPr>
      <w:r>
        <w:rPr>
          <w:rFonts w:ascii="Arial" w:cs="Arial" w:eastAsia="Arial" w:hAnsi="Arial"/>
          <w:sz w:val="20"/>
          <w:szCs w:val="20"/>
          <w:color w:val="auto"/>
        </w:rPr>
        <w:t>Ongame Services AB (Sweden)</w:t>
      </w:r>
    </w:p>
    <w:p>
      <w:pPr>
        <w:spacing w:after="0" w:line="225" w:lineRule="auto"/>
        <w:rPr>
          <w:sz w:val="20"/>
          <w:szCs w:val="20"/>
          <w:color w:val="auto"/>
        </w:rPr>
      </w:pPr>
      <w:r>
        <w:rPr>
          <w:rFonts w:ascii="Arial" w:cs="Arial" w:eastAsia="Arial" w:hAnsi="Arial"/>
          <w:sz w:val="20"/>
          <w:szCs w:val="20"/>
          <w:color w:val="auto"/>
        </w:rPr>
        <w:t>OpenBet Asia Pacific Pty Ltd (Australia)</w:t>
      </w:r>
    </w:p>
    <w:p>
      <w:pPr>
        <w:spacing w:after="0" w:line="225" w:lineRule="auto"/>
        <w:rPr>
          <w:sz w:val="20"/>
          <w:szCs w:val="20"/>
          <w:color w:val="auto"/>
        </w:rPr>
      </w:pPr>
      <w:r>
        <w:rPr>
          <w:rFonts w:ascii="Arial" w:cs="Arial" w:eastAsia="Arial" w:hAnsi="Arial"/>
          <w:sz w:val="20"/>
          <w:szCs w:val="20"/>
          <w:color w:val="auto"/>
        </w:rPr>
        <w:t>OpenBet Hellas SA (Greece)</w:t>
      </w:r>
    </w:p>
    <w:p>
      <w:pPr>
        <w:spacing w:after="0" w:line="226" w:lineRule="auto"/>
        <w:rPr>
          <w:sz w:val="20"/>
          <w:szCs w:val="20"/>
          <w:color w:val="auto"/>
        </w:rPr>
      </w:pPr>
      <w:r>
        <w:rPr>
          <w:rFonts w:ascii="Arial" w:cs="Arial" w:eastAsia="Arial" w:hAnsi="Arial"/>
          <w:sz w:val="20"/>
          <w:szCs w:val="20"/>
          <w:color w:val="auto"/>
        </w:rPr>
        <w:t>OpenBet Holdco Limited (Jersey)</w:t>
      </w:r>
    </w:p>
    <w:p>
      <w:pPr>
        <w:spacing w:after="0" w:line="225" w:lineRule="auto"/>
        <w:rPr>
          <w:sz w:val="20"/>
          <w:szCs w:val="20"/>
          <w:color w:val="auto"/>
        </w:rPr>
      </w:pPr>
      <w:r>
        <w:rPr>
          <w:rFonts w:ascii="Arial" w:cs="Arial" w:eastAsia="Arial" w:hAnsi="Arial"/>
          <w:sz w:val="20"/>
          <w:szCs w:val="20"/>
          <w:color w:val="auto"/>
        </w:rPr>
        <w:t>OpenBet India Private Limited (India)</w:t>
      </w:r>
    </w:p>
    <w:p>
      <w:pPr>
        <w:spacing w:after="0" w:line="226" w:lineRule="auto"/>
        <w:rPr>
          <w:sz w:val="20"/>
          <w:szCs w:val="20"/>
          <w:color w:val="auto"/>
        </w:rPr>
      </w:pPr>
      <w:r>
        <w:rPr>
          <w:rFonts w:ascii="Arial" w:cs="Arial" w:eastAsia="Arial" w:hAnsi="Arial"/>
          <w:sz w:val="20"/>
          <w:szCs w:val="20"/>
          <w:color w:val="auto"/>
        </w:rPr>
        <w:t>OpenBet Limited (England and Wales)</w:t>
      </w:r>
    </w:p>
    <w:p>
      <w:pPr>
        <w:spacing w:after="0" w:line="225" w:lineRule="auto"/>
        <w:rPr>
          <w:sz w:val="20"/>
          <w:szCs w:val="20"/>
          <w:color w:val="auto"/>
        </w:rPr>
      </w:pPr>
      <w:r>
        <w:rPr>
          <w:rFonts w:ascii="Arial" w:cs="Arial" w:eastAsia="Arial" w:hAnsi="Arial"/>
          <w:sz w:val="20"/>
          <w:szCs w:val="20"/>
          <w:color w:val="auto"/>
        </w:rPr>
        <w:t>OpenBet New Zealand Limited (New Zealand)</w:t>
      </w:r>
    </w:p>
    <w:p>
      <w:pPr>
        <w:spacing w:after="0" w:line="225" w:lineRule="auto"/>
        <w:rPr>
          <w:sz w:val="20"/>
          <w:szCs w:val="20"/>
          <w:color w:val="auto"/>
        </w:rPr>
      </w:pPr>
      <w:r>
        <w:rPr>
          <w:rFonts w:ascii="Arial" w:cs="Arial" w:eastAsia="Arial" w:hAnsi="Arial"/>
          <w:sz w:val="20"/>
          <w:szCs w:val="20"/>
          <w:color w:val="auto"/>
        </w:rPr>
        <w:t>OpenBet North America Corporation (Canada)</w:t>
      </w:r>
    </w:p>
    <w:p>
      <w:pPr>
        <w:spacing w:after="0" w:line="226" w:lineRule="auto"/>
        <w:rPr>
          <w:sz w:val="20"/>
          <w:szCs w:val="20"/>
          <w:color w:val="auto"/>
        </w:rPr>
      </w:pPr>
      <w:r>
        <w:rPr>
          <w:rFonts w:ascii="Arial" w:cs="Arial" w:eastAsia="Arial" w:hAnsi="Arial"/>
          <w:sz w:val="20"/>
          <w:szCs w:val="20"/>
          <w:color w:val="auto"/>
        </w:rPr>
        <w:t>OpenBet Retail Limited (England and Wales)</w:t>
      </w:r>
    </w:p>
    <w:p>
      <w:pPr>
        <w:spacing w:after="0" w:line="225" w:lineRule="auto"/>
        <w:rPr>
          <w:sz w:val="20"/>
          <w:szCs w:val="20"/>
          <w:color w:val="auto"/>
        </w:rPr>
      </w:pPr>
      <w:r>
        <w:rPr>
          <w:rFonts w:ascii="Arial" w:cs="Arial" w:eastAsia="Arial" w:hAnsi="Arial"/>
          <w:sz w:val="20"/>
          <w:szCs w:val="20"/>
          <w:color w:val="auto"/>
        </w:rPr>
        <w:t>OpenBet Singapore Pte. Limited (Singapore)</w:t>
      </w:r>
    </w:p>
    <w:p>
      <w:pPr>
        <w:spacing w:after="0" w:line="223" w:lineRule="auto"/>
        <w:rPr>
          <w:sz w:val="20"/>
          <w:szCs w:val="20"/>
          <w:color w:val="auto"/>
        </w:rPr>
      </w:pPr>
      <w:r>
        <w:rPr>
          <w:rFonts w:ascii="Arial" w:cs="Arial" w:eastAsia="Arial" w:hAnsi="Arial"/>
          <w:sz w:val="20"/>
          <w:szCs w:val="20"/>
          <w:color w:val="auto"/>
        </w:rPr>
        <w:t>OpenBet Technologies Limited (England and Wales)</w:t>
      </w:r>
    </w:p>
    <w:p>
      <w:pPr>
        <w:spacing w:after="0" w:line="228" w:lineRule="auto"/>
        <w:rPr>
          <w:sz w:val="20"/>
          <w:szCs w:val="20"/>
          <w:color w:val="auto"/>
        </w:rPr>
      </w:pPr>
      <w:r>
        <w:rPr>
          <w:rFonts w:ascii="Arial" w:cs="Arial" w:eastAsia="Arial" w:hAnsi="Arial"/>
          <w:sz w:val="20"/>
          <w:szCs w:val="20"/>
          <w:color w:val="auto"/>
        </w:rPr>
        <w:t xml:space="preserve">Red7Mobile Ltd </w:t>
      </w:r>
      <w:r>
        <w:rPr>
          <w:rFonts w:ascii="Arial" w:cs="Arial" w:eastAsia="Arial" w:hAnsi="Arial"/>
          <w:sz w:val="21"/>
          <w:szCs w:val="21"/>
          <w:color w:val="auto"/>
        </w:rPr>
        <w:t>(England and Wales)</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Connections India</w:t>
      </w:r>
      <w:r>
        <w:rPr>
          <w:rFonts w:ascii="Arial" w:cs="Arial" w:eastAsia="Arial" w:hAnsi="Arial"/>
          <w:sz w:val="20"/>
          <w:szCs w:val="20"/>
          <w:color w:val="auto"/>
        </w:rPr>
        <w:t xml:space="preserve"> Private Limited </w:t>
      </w:r>
      <w:r>
        <w:rPr>
          <w:rFonts w:ascii="Arial" w:cs="Arial" w:eastAsia="Arial" w:hAnsi="Arial"/>
          <w:sz w:val="21"/>
          <w:szCs w:val="21"/>
          <w:color w:val="auto"/>
        </w:rPr>
        <w:t>(India)</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Connections SDN. BHD. (Malaysia)</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(Bermuda)</w:t>
      </w:r>
      <w:r>
        <w:rPr>
          <w:rFonts w:ascii="Arial" w:cs="Arial" w:eastAsia="Arial" w:hAnsi="Arial"/>
          <w:sz w:val="20"/>
          <w:szCs w:val="20"/>
          <w:color w:val="auto"/>
        </w:rPr>
        <w:t xml:space="preserve"> Limited </w:t>
      </w:r>
      <w:r>
        <w:rPr>
          <w:rFonts w:ascii="Arial" w:cs="Arial" w:eastAsia="Arial" w:hAnsi="Arial"/>
          <w:sz w:val="21"/>
          <w:szCs w:val="21"/>
          <w:color w:val="auto"/>
        </w:rPr>
        <w:t>(Bermuda)</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(China) Company</w:t>
      </w:r>
      <w:r>
        <w:rPr>
          <w:rFonts w:ascii="Arial" w:cs="Arial" w:eastAsia="Arial" w:hAnsi="Arial"/>
          <w:sz w:val="20"/>
          <w:szCs w:val="20"/>
          <w:color w:val="auto"/>
        </w:rPr>
        <w:t xml:space="preserve"> Limited </w:t>
      </w:r>
      <w:r>
        <w:rPr>
          <w:rFonts w:ascii="Arial" w:cs="Arial" w:eastAsia="Arial" w:hAnsi="Arial"/>
          <w:sz w:val="21"/>
          <w:szCs w:val="21"/>
          <w:color w:val="auto"/>
        </w:rPr>
        <w:t>(China)</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(Gibraltar)</w:t>
      </w:r>
      <w:r>
        <w:rPr>
          <w:rFonts w:ascii="Arial" w:cs="Arial" w:eastAsia="Arial" w:hAnsi="Arial"/>
          <w:sz w:val="20"/>
          <w:szCs w:val="20"/>
          <w:color w:val="auto"/>
        </w:rPr>
        <w:t xml:space="preserve"> Limited </w:t>
      </w:r>
      <w:r>
        <w:rPr>
          <w:rFonts w:ascii="Arial" w:cs="Arial" w:eastAsia="Arial" w:hAnsi="Arial"/>
          <w:sz w:val="21"/>
          <w:szCs w:val="21"/>
          <w:color w:val="auto"/>
        </w:rPr>
        <w:t>(Gibraltar)</w:t>
      </w:r>
    </w:p>
    <w:p>
      <w:pPr>
        <w:spacing w:after="0" w:line="229"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w:t>
      </w:r>
      <w:r>
        <w:rPr>
          <w:rFonts w:ascii="Arial" w:cs="Arial" w:eastAsia="Arial" w:hAnsi="Arial"/>
          <w:sz w:val="20"/>
          <w:szCs w:val="20"/>
          <w:color w:val="auto"/>
        </w:rPr>
        <w:t xml:space="preserve"> Asia Pacific Ltd. </w:t>
      </w:r>
      <w:r>
        <w:rPr>
          <w:rFonts w:ascii="Arial" w:cs="Arial" w:eastAsia="Arial" w:hAnsi="Arial"/>
          <w:sz w:val="21"/>
          <w:szCs w:val="21"/>
          <w:color w:val="auto"/>
        </w:rPr>
        <w:t>(Bermuda)</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w:t>
      </w:r>
      <w:r>
        <w:rPr>
          <w:rFonts w:ascii="Arial" w:cs="Arial" w:eastAsia="Arial" w:hAnsi="Arial"/>
          <w:sz w:val="20"/>
          <w:szCs w:val="20"/>
          <w:color w:val="auto"/>
        </w:rPr>
        <w:t xml:space="preserve"> Asia </w:t>
      </w:r>
      <w:r>
        <w:rPr>
          <w:rFonts w:ascii="Arial" w:cs="Arial" w:eastAsia="Arial" w:hAnsi="Arial"/>
          <w:sz w:val="21"/>
          <w:szCs w:val="21"/>
          <w:color w:val="auto"/>
        </w:rPr>
        <w:t>Services Pte.</w:t>
      </w:r>
      <w:r>
        <w:rPr>
          <w:rFonts w:ascii="Arial" w:cs="Arial" w:eastAsia="Arial" w:hAnsi="Arial"/>
          <w:sz w:val="20"/>
          <w:szCs w:val="20"/>
          <w:color w:val="auto"/>
        </w:rPr>
        <w:t xml:space="preserve"> Ltd. </w:t>
      </w:r>
      <w:r>
        <w:rPr>
          <w:rFonts w:ascii="Arial" w:cs="Arial" w:eastAsia="Arial" w:hAnsi="Arial"/>
          <w:sz w:val="21"/>
          <w:szCs w:val="21"/>
          <w:color w:val="auto"/>
        </w:rPr>
        <w:t>(Singapore)</w:t>
      </w:r>
    </w:p>
    <w:p>
      <w:pPr>
        <w:spacing w:after="0"/>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Australia</w:t>
      </w:r>
      <w:r>
        <w:rPr>
          <w:rFonts w:ascii="Arial" w:cs="Arial" w:eastAsia="Arial" w:hAnsi="Arial"/>
          <w:sz w:val="20"/>
          <w:szCs w:val="20"/>
          <w:color w:val="auto"/>
        </w:rPr>
        <w:t xml:space="preserve"> Pty Ltd </w:t>
      </w:r>
      <w:r>
        <w:rPr>
          <w:rFonts w:ascii="Arial" w:cs="Arial" w:eastAsia="Arial" w:hAnsi="Arial"/>
          <w:sz w:val="21"/>
          <w:szCs w:val="21"/>
          <w:color w:val="auto"/>
        </w:rPr>
        <w:t>(Australia)</w:t>
      </w:r>
    </w:p>
    <w:p>
      <w:pPr>
        <w:sectPr>
          <w:pgSz w:w="11900" w:h="16838" w:orient="portrait"/>
          <w:cols w:equalWidth="0" w:num="1">
            <w:col w:w="10139"/>
          </w:cols>
          <w:pgMar w:left="320" w:top="1252" w:right="1440"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w:t>
      </w:r>
      <w:r>
        <w:rPr>
          <w:rFonts w:ascii="Arial" w:cs="Arial" w:eastAsia="Arial" w:hAnsi="Arial"/>
          <w:sz w:val="20"/>
          <w:szCs w:val="20"/>
          <w:color w:val="auto"/>
        </w:rPr>
        <w:t xml:space="preserve"> Brasil </w:t>
      </w:r>
      <w:r>
        <w:rPr>
          <w:rFonts w:ascii="Arial" w:cs="Arial" w:eastAsia="Arial" w:hAnsi="Arial"/>
          <w:sz w:val="21"/>
          <w:szCs w:val="21"/>
          <w:color w:val="auto"/>
        </w:rPr>
        <w:t>Ltda.</w:t>
      </w:r>
      <w:r>
        <w:rPr>
          <w:rFonts w:ascii="Arial" w:cs="Arial" w:eastAsia="Arial" w:hAnsi="Arial"/>
          <w:sz w:val="20"/>
          <w:szCs w:val="20"/>
          <w:color w:val="auto"/>
        </w:rPr>
        <w:t xml:space="preserve"> (Brazil)</w:t>
      </w:r>
    </w:p>
    <w:p>
      <w:pPr>
        <w:spacing w:after="0" w:line="234"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w:t>
      </w:r>
      <w:r>
        <w:rPr>
          <w:rFonts w:ascii="Arial" w:cs="Arial" w:eastAsia="Arial" w:hAnsi="Arial"/>
          <w:sz w:val="20"/>
          <w:szCs w:val="20"/>
          <w:color w:val="auto"/>
        </w:rPr>
        <w:t xml:space="preserve"> Chile </w:t>
      </w:r>
      <w:r>
        <w:rPr>
          <w:rFonts w:ascii="Arial" w:cs="Arial" w:eastAsia="Arial" w:hAnsi="Arial"/>
          <w:sz w:val="21"/>
          <w:szCs w:val="21"/>
          <w:color w:val="auto"/>
        </w:rPr>
        <w:t>Limitada (Chile) (99.99%)</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China Holdings</w:t>
      </w:r>
      <w:r>
        <w:rPr>
          <w:rFonts w:ascii="Arial" w:cs="Arial" w:eastAsia="Arial" w:hAnsi="Arial"/>
          <w:sz w:val="20"/>
          <w:szCs w:val="20"/>
          <w:color w:val="auto"/>
        </w:rPr>
        <w:t xml:space="preserve"> Ltd. </w:t>
      </w:r>
      <w:r>
        <w:rPr>
          <w:rFonts w:ascii="Arial" w:cs="Arial" w:eastAsia="Arial" w:hAnsi="Arial"/>
          <w:sz w:val="21"/>
          <w:szCs w:val="21"/>
          <w:color w:val="auto"/>
        </w:rPr>
        <w:t>(Bermuda)</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del Peru,</w:t>
      </w:r>
      <w:r>
        <w:rPr>
          <w:rFonts w:ascii="Arial" w:cs="Arial" w:eastAsia="Arial" w:hAnsi="Arial"/>
          <w:sz w:val="20"/>
          <w:szCs w:val="20"/>
          <w:color w:val="auto"/>
        </w:rPr>
        <w:t xml:space="preserve"> S.R.L. </w:t>
      </w:r>
      <w:r>
        <w:rPr>
          <w:rFonts w:ascii="Arial" w:cs="Arial" w:eastAsia="Arial" w:hAnsi="Arial"/>
          <w:sz w:val="21"/>
          <w:szCs w:val="21"/>
          <w:color w:val="auto"/>
        </w:rPr>
        <w:t>(Peru) (99.99%)</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Deutschland GmbH (Germany)</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Dominican Republic,</w:t>
      </w:r>
      <w:r>
        <w:rPr>
          <w:rFonts w:ascii="Arial" w:cs="Arial" w:eastAsia="Arial" w:hAnsi="Arial"/>
          <w:sz w:val="20"/>
          <w:szCs w:val="20"/>
          <w:color w:val="auto"/>
        </w:rPr>
        <w:t xml:space="preserve"> S.R.L. </w:t>
      </w:r>
      <w:r>
        <w:rPr>
          <w:rFonts w:ascii="Arial" w:cs="Arial" w:eastAsia="Arial" w:hAnsi="Arial"/>
          <w:sz w:val="21"/>
          <w:szCs w:val="21"/>
          <w:color w:val="auto"/>
        </w:rPr>
        <w:t>(Dominican Republic)</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Europe S.à.r.l. (Luxembourg)</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France SARL (France)</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Germany GmbH (Germany)</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Global Gaming S.à.r.l. (Luxembourg)</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Hellas</w:t>
      </w:r>
      <w:r>
        <w:rPr>
          <w:rFonts w:ascii="Arial" w:cs="Arial" w:eastAsia="Arial" w:hAnsi="Arial"/>
          <w:sz w:val="20"/>
          <w:szCs w:val="20"/>
          <w:color w:val="auto"/>
        </w:rPr>
        <w:t xml:space="preserve"> Sole </w:t>
      </w:r>
      <w:r>
        <w:rPr>
          <w:rFonts w:ascii="Arial" w:cs="Arial" w:eastAsia="Arial" w:hAnsi="Arial"/>
          <w:sz w:val="21"/>
          <w:szCs w:val="21"/>
          <w:color w:val="auto"/>
        </w:rPr>
        <w:t>Shareholder</w:t>
      </w:r>
      <w:r>
        <w:rPr>
          <w:rFonts w:ascii="Arial" w:cs="Arial" w:eastAsia="Arial" w:hAnsi="Arial"/>
          <w:sz w:val="20"/>
          <w:szCs w:val="20"/>
          <w:color w:val="auto"/>
        </w:rPr>
        <w:t xml:space="preserve"> Limited Liability </w:t>
      </w:r>
      <w:r>
        <w:rPr>
          <w:rFonts w:ascii="Arial" w:cs="Arial" w:eastAsia="Arial" w:hAnsi="Arial"/>
          <w:sz w:val="21"/>
          <w:szCs w:val="21"/>
          <w:color w:val="auto"/>
        </w:rPr>
        <w:t>Company (Greece)</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Holdings (Canada)</w:t>
      </w:r>
      <w:r>
        <w:rPr>
          <w:rFonts w:ascii="Arial" w:cs="Arial" w:eastAsia="Arial" w:hAnsi="Arial"/>
          <w:sz w:val="20"/>
          <w:szCs w:val="20"/>
          <w:color w:val="auto"/>
        </w:rPr>
        <w:t xml:space="preserve"> ULC </w:t>
      </w:r>
      <w:r>
        <w:rPr>
          <w:rFonts w:ascii="Arial" w:cs="Arial" w:eastAsia="Arial" w:hAnsi="Arial"/>
          <w:sz w:val="21"/>
          <w:szCs w:val="21"/>
          <w:color w:val="auto"/>
        </w:rPr>
        <w:t>(Nova Scotia, Canada)</w:t>
      </w:r>
    </w:p>
    <w:p>
      <w:pPr>
        <w:spacing w:after="0" w:line="229"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Holdings</w:t>
      </w:r>
      <w:r>
        <w:rPr>
          <w:rFonts w:ascii="Arial" w:cs="Arial" w:eastAsia="Arial" w:hAnsi="Arial"/>
          <w:sz w:val="20"/>
          <w:szCs w:val="20"/>
          <w:color w:val="auto"/>
        </w:rPr>
        <w:t xml:space="preserve"> Limited </w:t>
      </w:r>
      <w:r>
        <w:rPr>
          <w:rFonts w:ascii="Arial" w:cs="Arial" w:eastAsia="Arial" w:hAnsi="Arial"/>
          <w:sz w:val="21"/>
          <w:szCs w:val="21"/>
          <w:color w:val="auto"/>
        </w:rPr>
        <w:t>(Ireland)</w:t>
      </w:r>
    </w:p>
    <w:p>
      <w:pPr>
        <w:spacing w:after="0" w:line="230"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Honsel GmbH (Germany)</w:t>
      </w:r>
    </w:p>
    <w:p>
      <w:pPr>
        <w:spacing w:after="0" w:line="223" w:lineRule="auto"/>
        <w:rPr>
          <w:sz w:val="20"/>
          <w:szCs w:val="20"/>
          <w:color w:val="auto"/>
        </w:rPr>
      </w:pPr>
      <w:r>
        <w:rPr>
          <w:rFonts w:ascii="Arial" w:cs="Arial" w:eastAsia="Arial" w:hAnsi="Arial"/>
          <w:sz w:val="20"/>
          <w:szCs w:val="20"/>
          <w:color w:val="auto"/>
        </w:rPr>
        <w:t>Scientific Games, Inc. (Delaware)</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India</w:t>
      </w:r>
      <w:r>
        <w:rPr>
          <w:rFonts w:ascii="Arial" w:cs="Arial" w:eastAsia="Arial" w:hAnsi="Arial"/>
          <w:sz w:val="20"/>
          <w:szCs w:val="20"/>
          <w:color w:val="auto"/>
        </w:rPr>
        <w:t xml:space="preserve"> Private Limited </w:t>
      </w:r>
      <w:r>
        <w:rPr>
          <w:rFonts w:ascii="Arial" w:cs="Arial" w:eastAsia="Arial" w:hAnsi="Arial"/>
          <w:sz w:val="21"/>
          <w:szCs w:val="21"/>
          <w:color w:val="auto"/>
        </w:rPr>
        <w:t>(India)</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International GmbH (Austria)</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International Holdings Limited (England and Wales)</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International</w:t>
      </w:r>
      <w:r>
        <w:rPr>
          <w:rFonts w:ascii="Arial" w:cs="Arial" w:eastAsia="Arial" w:hAnsi="Arial"/>
          <w:sz w:val="20"/>
          <w:szCs w:val="20"/>
          <w:color w:val="auto"/>
        </w:rPr>
        <w:t xml:space="preserve"> Limited </w:t>
      </w:r>
      <w:r>
        <w:rPr>
          <w:rFonts w:ascii="Arial" w:cs="Arial" w:eastAsia="Arial" w:hAnsi="Arial"/>
          <w:sz w:val="21"/>
          <w:szCs w:val="21"/>
          <w:color w:val="auto"/>
        </w:rPr>
        <w:t>(England and Wales)</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International, Inc. (Delaware)</w:t>
      </w:r>
    </w:p>
    <w:p>
      <w:pPr>
        <w:spacing w:after="0" w:line="229"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w:t>
      </w:r>
      <w:r>
        <w:rPr>
          <w:rFonts w:ascii="Arial" w:cs="Arial" w:eastAsia="Arial" w:hAnsi="Arial"/>
          <w:sz w:val="20"/>
          <w:szCs w:val="20"/>
          <w:color w:val="auto"/>
        </w:rPr>
        <w:t xml:space="preserve"> Italy </w:t>
      </w:r>
      <w:r>
        <w:rPr>
          <w:rFonts w:ascii="Arial" w:cs="Arial" w:eastAsia="Arial" w:hAnsi="Arial"/>
          <w:sz w:val="21"/>
          <w:szCs w:val="21"/>
          <w:color w:val="auto"/>
        </w:rPr>
        <w:t>Investments S.r.l. (Italy)</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Latino America SpA (Chile)</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Luxembourg Holdings S.à.r.l. (Luxembourg)</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New Jersey, LLC (Delaware)</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Products (Canada)</w:t>
      </w:r>
      <w:r>
        <w:rPr>
          <w:rFonts w:ascii="Arial" w:cs="Arial" w:eastAsia="Arial" w:hAnsi="Arial"/>
          <w:sz w:val="20"/>
          <w:szCs w:val="20"/>
          <w:color w:val="auto"/>
        </w:rPr>
        <w:t xml:space="preserve"> ULC </w:t>
      </w:r>
      <w:r>
        <w:rPr>
          <w:rFonts w:ascii="Arial" w:cs="Arial" w:eastAsia="Arial" w:hAnsi="Arial"/>
          <w:sz w:val="21"/>
          <w:szCs w:val="21"/>
          <w:color w:val="auto"/>
        </w:rPr>
        <w:t>(Nova Scotia, Canada)</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Products (Australia) Pty Ltd (Australia)</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Products, LLC (Delaware)</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Puerto Rico, LLC</w:t>
      </w:r>
      <w:r>
        <w:rPr>
          <w:rFonts w:ascii="Arial" w:cs="Arial" w:eastAsia="Arial" w:hAnsi="Arial"/>
          <w:sz w:val="20"/>
          <w:szCs w:val="20"/>
          <w:color w:val="auto"/>
        </w:rPr>
        <w:t xml:space="preserve"> (Puerto </w:t>
      </w:r>
      <w:r>
        <w:rPr>
          <w:rFonts w:ascii="Arial" w:cs="Arial" w:eastAsia="Arial" w:hAnsi="Arial"/>
          <w:sz w:val="21"/>
          <w:szCs w:val="21"/>
          <w:color w:val="auto"/>
        </w:rPr>
        <w:t>Rico)</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Sweden AB (Sweden)</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22"/>
          <w:szCs w:val="22"/>
          <w:color w:val="auto"/>
        </w:rPr>
        <w:t xml:space="preserve">Scientific Games Szerencsejáték Szolgáltatások Korlátolt Felelősségű Társaság (Hungary) - short name Scientific Games Kft. </w:t>
      </w:r>
      <w:r>
        <w:rPr>
          <w:rFonts w:ascii="Arial" w:cs="Arial" w:eastAsia="Arial" w:hAnsi="Arial"/>
          <w:sz w:val="19"/>
          <w:szCs w:val="19"/>
          <w:color w:val="auto"/>
        </w:rPr>
        <w:t xml:space="preserve">Scientific </w:t>
      </w:r>
      <w:r>
        <w:rPr>
          <w:rFonts w:ascii="Arial" w:cs="Arial" w:eastAsia="Arial" w:hAnsi="Arial"/>
          <w:sz w:val="21"/>
          <w:szCs w:val="21"/>
          <w:color w:val="auto"/>
        </w:rPr>
        <w:t>Games Taiwan</w:t>
      </w:r>
      <w:r>
        <w:rPr>
          <w:rFonts w:ascii="Arial" w:cs="Arial" w:eastAsia="Arial" w:hAnsi="Arial"/>
          <w:sz w:val="19"/>
          <w:szCs w:val="19"/>
          <w:color w:val="auto"/>
        </w:rPr>
        <w:t xml:space="preserve"> Limited </w:t>
      </w:r>
      <w:r>
        <w:rPr>
          <w:rFonts w:ascii="Arial" w:cs="Arial" w:eastAsia="Arial" w:hAnsi="Arial"/>
          <w:sz w:val="21"/>
          <w:szCs w:val="21"/>
          <w:color w:val="auto"/>
        </w:rPr>
        <w:t>(Taiwan)</w:t>
      </w:r>
    </w:p>
    <w:p>
      <w:pPr>
        <w:spacing w:after="0" w:line="229"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Turkey Şans Oyunlari Anonim Ş</w:t>
      </w:r>
      <w:r>
        <w:rPr>
          <w:rFonts w:ascii="Arial" w:cs="Arial" w:eastAsia="Arial" w:hAnsi="Arial"/>
          <w:sz w:val="20"/>
          <w:szCs w:val="20"/>
          <w:color w:val="auto"/>
        </w:rPr>
        <w:t xml:space="preserve">irketi </w:t>
      </w:r>
      <w:r>
        <w:rPr>
          <w:rFonts w:ascii="Arial" w:cs="Arial" w:eastAsia="Arial" w:hAnsi="Arial"/>
          <w:sz w:val="21"/>
          <w:szCs w:val="21"/>
          <w:color w:val="auto"/>
        </w:rPr>
        <w:t>(Turkey)</w:t>
      </w:r>
    </w:p>
    <w:p>
      <w:pPr>
        <w:spacing w:after="0" w:line="228"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Ukraine Limited Liability Company (Ukraine)</w:t>
      </w:r>
    </w:p>
    <w:p>
      <w:pPr>
        <w:spacing w:after="0" w:line="231" w:lineRule="auto"/>
        <w:rPr>
          <w:sz w:val="20"/>
          <w:szCs w:val="20"/>
          <w:color w:val="auto"/>
        </w:rPr>
      </w:pPr>
      <w:r>
        <w:rPr>
          <w:rFonts w:ascii="Arial" w:cs="Arial" w:eastAsia="Arial" w:hAnsi="Arial"/>
          <w:sz w:val="20"/>
          <w:szCs w:val="20"/>
          <w:color w:val="auto"/>
        </w:rPr>
        <w:t xml:space="preserve">Scientific </w:t>
      </w:r>
      <w:r>
        <w:rPr>
          <w:rFonts w:ascii="Arial" w:cs="Arial" w:eastAsia="Arial" w:hAnsi="Arial"/>
          <w:sz w:val="21"/>
          <w:szCs w:val="21"/>
          <w:color w:val="auto"/>
        </w:rPr>
        <w:t>Games Worldwide</w:t>
      </w:r>
      <w:r>
        <w:rPr>
          <w:rFonts w:ascii="Arial" w:cs="Arial" w:eastAsia="Arial" w:hAnsi="Arial"/>
          <w:sz w:val="20"/>
          <w:szCs w:val="20"/>
          <w:color w:val="auto"/>
        </w:rPr>
        <w:t xml:space="preserve"> Limited </w:t>
      </w:r>
      <w:r>
        <w:rPr>
          <w:rFonts w:ascii="Arial" w:cs="Arial" w:eastAsia="Arial" w:hAnsi="Arial"/>
          <w:sz w:val="21"/>
          <w:szCs w:val="21"/>
          <w:color w:val="auto"/>
        </w:rPr>
        <w:t>(Ireland)</w:t>
      </w:r>
    </w:p>
    <w:p>
      <w:pPr>
        <w:spacing w:after="0" w:line="225" w:lineRule="auto"/>
        <w:rPr>
          <w:sz w:val="20"/>
          <w:szCs w:val="20"/>
          <w:color w:val="auto"/>
        </w:rPr>
      </w:pPr>
      <w:r>
        <w:rPr>
          <w:rFonts w:ascii="Arial" w:cs="Arial" w:eastAsia="Arial" w:hAnsi="Arial"/>
          <w:sz w:val="20"/>
          <w:szCs w:val="20"/>
          <w:color w:val="auto"/>
        </w:rPr>
        <w:t>SciPlay Corporation (Nevada)</w:t>
      </w:r>
    </w:p>
    <w:p>
      <w:pPr>
        <w:spacing w:after="0" w:line="226" w:lineRule="auto"/>
        <w:rPr>
          <w:sz w:val="20"/>
          <w:szCs w:val="20"/>
          <w:color w:val="auto"/>
        </w:rPr>
      </w:pPr>
      <w:r>
        <w:rPr>
          <w:rFonts w:ascii="Arial" w:cs="Arial" w:eastAsia="Arial" w:hAnsi="Arial"/>
          <w:sz w:val="20"/>
          <w:szCs w:val="20"/>
          <w:color w:val="auto"/>
        </w:rPr>
        <w:t>SciPlay Games, LLC</w:t>
      </w:r>
    </w:p>
    <w:p>
      <w:pPr>
        <w:spacing w:after="0" w:line="225" w:lineRule="auto"/>
        <w:rPr>
          <w:sz w:val="20"/>
          <w:szCs w:val="20"/>
          <w:color w:val="auto"/>
        </w:rPr>
      </w:pPr>
      <w:r>
        <w:rPr>
          <w:rFonts w:ascii="Arial" w:cs="Arial" w:eastAsia="Arial" w:hAnsi="Arial"/>
          <w:sz w:val="20"/>
          <w:szCs w:val="20"/>
          <w:color w:val="auto"/>
        </w:rPr>
        <w:t>SciPlay Parent Company, LLC (Nevada)*</w:t>
      </w:r>
    </w:p>
    <w:p>
      <w:pPr>
        <w:spacing w:after="0" w:line="226" w:lineRule="auto"/>
        <w:rPr>
          <w:sz w:val="20"/>
          <w:szCs w:val="20"/>
          <w:color w:val="auto"/>
        </w:rPr>
      </w:pPr>
      <w:r>
        <w:rPr>
          <w:rFonts w:ascii="Arial" w:cs="Arial" w:eastAsia="Arial" w:hAnsi="Arial"/>
          <w:sz w:val="20"/>
          <w:szCs w:val="20"/>
          <w:color w:val="auto"/>
        </w:rPr>
        <w:t>SG Digital (Gibraltar) Limited (Gibraltar)</w:t>
      </w:r>
    </w:p>
    <w:p>
      <w:pPr>
        <w:spacing w:after="0" w:line="225" w:lineRule="auto"/>
        <w:rPr>
          <w:sz w:val="20"/>
          <w:szCs w:val="20"/>
          <w:color w:val="auto"/>
        </w:rPr>
      </w:pPr>
      <w:r>
        <w:rPr>
          <w:rFonts w:ascii="Arial" w:cs="Arial" w:eastAsia="Arial" w:hAnsi="Arial"/>
          <w:sz w:val="20"/>
          <w:szCs w:val="20"/>
          <w:color w:val="auto"/>
        </w:rPr>
        <w:t>SG Digital Gaming (Malta) Limited (Malta)</w:t>
      </w:r>
    </w:p>
    <w:p>
      <w:pPr>
        <w:spacing w:after="0" w:line="225" w:lineRule="auto"/>
        <w:rPr>
          <w:sz w:val="20"/>
          <w:szCs w:val="20"/>
          <w:color w:val="auto"/>
        </w:rPr>
      </w:pPr>
      <w:r>
        <w:rPr>
          <w:rFonts w:ascii="Arial" w:cs="Arial" w:eastAsia="Arial" w:hAnsi="Arial"/>
          <w:sz w:val="20"/>
          <w:szCs w:val="20"/>
          <w:color w:val="auto"/>
        </w:rPr>
        <w:t>SG Digital Limited (England and Wales)</w:t>
      </w:r>
    </w:p>
    <w:p>
      <w:pPr>
        <w:spacing w:after="0" w:line="226" w:lineRule="auto"/>
        <w:rPr>
          <w:sz w:val="20"/>
          <w:szCs w:val="20"/>
          <w:color w:val="auto"/>
        </w:rPr>
      </w:pPr>
      <w:r>
        <w:rPr>
          <w:rFonts w:ascii="Arial" w:cs="Arial" w:eastAsia="Arial" w:hAnsi="Arial"/>
          <w:sz w:val="20"/>
          <w:szCs w:val="20"/>
          <w:color w:val="auto"/>
        </w:rPr>
        <w:t>SG Digital Holdco Limited (England and Wales)</w:t>
      </w:r>
    </w:p>
    <w:p>
      <w:pPr>
        <w:spacing w:after="0" w:line="223" w:lineRule="auto"/>
        <w:rPr>
          <w:sz w:val="20"/>
          <w:szCs w:val="20"/>
          <w:color w:val="auto"/>
        </w:rPr>
      </w:pPr>
      <w:r>
        <w:rPr>
          <w:rFonts w:ascii="Arial" w:cs="Arial" w:eastAsia="Arial" w:hAnsi="Arial"/>
          <w:sz w:val="20"/>
          <w:szCs w:val="20"/>
          <w:color w:val="auto"/>
        </w:rPr>
        <w:t>SG Digital UK Holdings Limited (England and Wales)</w:t>
      </w:r>
    </w:p>
    <w:p>
      <w:pPr>
        <w:spacing w:after="0" w:line="228" w:lineRule="auto"/>
        <w:rPr>
          <w:sz w:val="20"/>
          <w:szCs w:val="20"/>
          <w:color w:val="auto"/>
        </w:rPr>
      </w:pPr>
      <w:r>
        <w:rPr>
          <w:rFonts w:ascii="Arial" w:cs="Arial" w:eastAsia="Arial" w:hAnsi="Arial"/>
          <w:sz w:val="20"/>
          <w:szCs w:val="20"/>
          <w:color w:val="auto"/>
        </w:rPr>
        <w:t xml:space="preserve">SG Gaming Africa Proprietary Ltd. </w:t>
      </w:r>
      <w:r>
        <w:rPr>
          <w:rFonts w:ascii="Arial" w:cs="Arial" w:eastAsia="Arial" w:hAnsi="Arial"/>
          <w:sz w:val="21"/>
          <w:szCs w:val="21"/>
          <w:color w:val="auto"/>
        </w:rPr>
        <w:t>(Republic of South Africa) (74.8%)</w:t>
      </w:r>
    </w:p>
    <w:p>
      <w:pPr>
        <w:spacing w:after="0" w:line="230" w:lineRule="auto"/>
        <w:rPr>
          <w:sz w:val="20"/>
          <w:szCs w:val="20"/>
          <w:color w:val="auto"/>
        </w:rPr>
      </w:pPr>
      <w:r>
        <w:rPr>
          <w:rFonts w:ascii="Arial" w:cs="Arial" w:eastAsia="Arial" w:hAnsi="Arial"/>
          <w:sz w:val="20"/>
          <w:szCs w:val="20"/>
          <w:color w:val="auto"/>
        </w:rPr>
        <w:t xml:space="preserve">SG </w:t>
      </w:r>
      <w:r>
        <w:rPr>
          <w:rFonts w:ascii="Arial" w:cs="Arial" w:eastAsia="Arial" w:hAnsi="Arial"/>
          <w:sz w:val="21"/>
          <w:szCs w:val="21"/>
          <w:color w:val="auto"/>
        </w:rPr>
        <w:t>Gaming ANZ Pty</w:t>
      </w:r>
      <w:r>
        <w:rPr>
          <w:rFonts w:ascii="Arial" w:cs="Arial" w:eastAsia="Arial" w:hAnsi="Arial"/>
          <w:sz w:val="20"/>
          <w:szCs w:val="20"/>
          <w:color w:val="auto"/>
        </w:rPr>
        <w:t xml:space="preserve"> Ltd </w:t>
      </w:r>
      <w:r>
        <w:rPr>
          <w:rFonts w:ascii="Arial" w:cs="Arial" w:eastAsia="Arial" w:hAnsi="Arial"/>
          <w:sz w:val="21"/>
          <w:szCs w:val="21"/>
          <w:color w:val="auto"/>
        </w:rPr>
        <w:t>(Australia)</w:t>
      </w:r>
    </w:p>
    <w:p>
      <w:pPr>
        <w:spacing w:after="0" w:line="223" w:lineRule="auto"/>
        <w:rPr>
          <w:sz w:val="20"/>
          <w:szCs w:val="20"/>
          <w:color w:val="auto"/>
        </w:rPr>
      </w:pPr>
      <w:r>
        <w:rPr>
          <w:rFonts w:ascii="Arial" w:cs="Arial" w:eastAsia="Arial" w:hAnsi="Arial"/>
          <w:sz w:val="20"/>
          <w:szCs w:val="20"/>
          <w:color w:val="auto"/>
        </w:rPr>
        <w:t>SG Gaming Argentina, S.A. (Argentina)</w:t>
      </w:r>
    </w:p>
    <w:p>
      <w:pPr>
        <w:spacing w:after="0" w:line="228" w:lineRule="auto"/>
        <w:rPr>
          <w:sz w:val="20"/>
          <w:szCs w:val="20"/>
          <w:color w:val="auto"/>
        </w:rPr>
      </w:pPr>
      <w:r>
        <w:rPr>
          <w:rFonts w:ascii="Arial" w:cs="Arial" w:eastAsia="Arial" w:hAnsi="Arial"/>
          <w:sz w:val="20"/>
          <w:szCs w:val="20"/>
          <w:color w:val="auto"/>
        </w:rPr>
        <w:t xml:space="preserve">SG </w:t>
      </w:r>
      <w:r>
        <w:rPr>
          <w:rFonts w:ascii="Arial" w:cs="Arial" w:eastAsia="Arial" w:hAnsi="Arial"/>
          <w:sz w:val="21"/>
          <w:szCs w:val="21"/>
          <w:color w:val="auto"/>
        </w:rPr>
        <w:t>Gaming</w:t>
      </w:r>
      <w:r>
        <w:rPr>
          <w:rFonts w:ascii="Arial" w:cs="Arial" w:eastAsia="Arial" w:hAnsi="Arial"/>
          <w:sz w:val="20"/>
          <w:szCs w:val="20"/>
          <w:color w:val="auto"/>
        </w:rPr>
        <w:t xml:space="preserve"> Asia Limited </w:t>
      </w:r>
      <w:r>
        <w:rPr>
          <w:rFonts w:ascii="Arial" w:cs="Arial" w:eastAsia="Arial" w:hAnsi="Arial"/>
          <w:sz w:val="21"/>
          <w:szCs w:val="21"/>
          <w:color w:val="auto"/>
        </w:rPr>
        <w:t>(Macau)</w:t>
      </w:r>
    </w:p>
    <w:p>
      <w:pPr>
        <w:spacing w:after="0" w:line="228" w:lineRule="auto"/>
        <w:rPr>
          <w:sz w:val="20"/>
          <w:szCs w:val="20"/>
          <w:color w:val="auto"/>
        </w:rPr>
      </w:pPr>
      <w:r>
        <w:rPr>
          <w:rFonts w:ascii="Arial" w:cs="Arial" w:eastAsia="Arial" w:hAnsi="Arial"/>
          <w:sz w:val="20"/>
          <w:szCs w:val="20"/>
          <w:color w:val="auto"/>
        </w:rPr>
        <w:t xml:space="preserve">SG </w:t>
      </w:r>
      <w:r>
        <w:rPr>
          <w:rFonts w:ascii="Arial" w:cs="Arial" w:eastAsia="Arial" w:hAnsi="Arial"/>
          <w:sz w:val="21"/>
          <w:szCs w:val="21"/>
          <w:color w:val="auto"/>
        </w:rPr>
        <w:t>Gaming Australia Holdings</w:t>
      </w:r>
      <w:r>
        <w:rPr>
          <w:rFonts w:ascii="Arial" w:cs="Arial" w:eastAsia="Arial" w:hAnsi="Arial"/>
          <w:sz w:val="20"/>
          <w:szCs w:val="20"/>
          <w:color w:val="auto"/>
        </w:rPr>
        <w:t xml:space="preserve"> I </w:t>
      </w:r>
      <w:r>
        <w:rPr>
          <w:rFonts w:ascii="Arial" w:cs="Arial" w:eastAsia="Arial" w:hAnsi="Arial"/>
          <w:sz w:val="21"/>
          <w:szCs w:val="21"/>
          <w:color w:val="auto"/>
        </w:rPr>
        <w:t>Pty Ltd (Australia)</w:t>
      </w:r>
    </w:p>
    <w:p>
      <w:pPr>
        <w:spacing w:after="0" w:line="228" w:lineRule="auto"/>
        <w:rPr>
          <w:sz w:val="20"/>
          <w:szCs w:val="20"/>
          <w:color w:val="auto"/>
        </w:rPr>
      </w:pPr>
      <w:r>
        <w:rPr>
          <w:rFonts w:ascii="Arial" w:cs="Arial" w:eastAsia="Arial" w:hAnsi="Arial"/>
          <w:sz w:val="20"/>
          <w:szCs w:val="20"/>
          <w:color w:val="auto"/>
        </w:rPr>
        <w:t xml:space="preserve">SG </w:t>
      </w:r>
      <w:r>
        <w:rPr>
          <w:rFonts w:ascii="Arial" w:cs="Arial" w:eastAsia="Arial" w:hAnsi="Arial"/>
          <w:sz w:val="21"/>
          <w:szCs w:val="21"/>
          <w:color w:val="auto"/>
        </w:rPr>
        <w:t>Gaming Australia Holdings</w:t>
      </w:r>
      <w:r>
        <w:rPr>
          <w:rFonts w:ascii="Arial" w:cs="Arial" w:eastAsia="Arial" w:hAnsi="Arial"/>
          <w:sz w:val="20"/>
          <w:szCs w:val="20"/>
          <w:color w:val="auto"/>
        </w:rPr>
        <w:t xml:space="preserve"> II </w:t>
      </w:r>
      <w:r>
        <w:rPr>
          <w:rFonts w:ascii="Arial" w:cs="Arial" w:eastAsia="Arial" w:hAnsi="Arial"/>
          <w:sz w:val="21"/>
          <w:szCs w:val="21"/>
          <w:color w:val="auto"/>
        </w:rPr>
        <w:t>Pty Ltd (Australia)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SG Gaming Limited </w:t>
      </w:r>
      <w:r>
        <w:rPr>
          <w:rFonts w:ascii="Arial" w:cs="Arial" w:eastAsia="Arial" w:hAnsi="Arial"/>
          <w:sz w:val="21"/>
          <w:szCs w:val="21"/>
          <w:color w:val="auto"/>
        </w:rPr>
        <w:t>(England and Wales)</w:t>
      </w:r>
    </w:p>
    <w:p>
      <w:pPr>
        <w:sectPr>
          <w:pgSz w:w="11900" w:h="16838" w:orient="portrait"/>
          <w:cols w:equalWidth="0" w:num="1">
            <w:col w:w="10880"/>
          </w:cols>
          <w:pgMar w:left="320" w:top="1252" w:right="69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auto"/>
        </w:rPr>
        <w:t xml:space="preserve">SG </w:t>
      </w:r>
      <w:r>
        <w:rPr>
          <w:rFonts w:ascii="Arial" w:cs="Arial" w:eastAsia="Arial" w:hAnsi="Arial"/>
          <w:sz w:val="21"/>
          <w:szCs w:val="21"/>
          <w:color w:val="auto"/>
        </w:rPr>
        <w:t>Gaming New Zealand Pty</w:t>
      </w:r>
      <w:r>
        <w:rPr>
          <w:rFonts w:ascii="Arial" w:cs="Arial" w:eastAsia="Arial" w:hAnsi="Arial"/>
          <w:sz w:val="20"/>
          <w:szCs w:val="20"/>
          <w:color w:val="auto"/>
        </w:rPr>
        <w:t xml:space="preserve"> Limited </w:t>
      </w:r>
      <w:r>
        <w:rPr>
          <w:rFonts w:ascii="Arial" w:cs="Arial" w:eastAsia="Arial" w:hAnsi="Arial"/>
          <w:sz w:val="21"/>
          <w:szCs w:val="21"/>
          <w:color w:val="auto"/>
        </w:rPr>
        <w:t>(New Zealand)</w:t>
      </w:r>
    </w:p>
    <w:p>
      <w:pPr>
        <w:spacing w:after="0" w:line="236" w:lineRule="auto"/>
        <w:rPr>
          <w:sz w:val="20"/>
          <w:szCs w:val="20"/>
          <w:color w:val="auto"/>
        </w:rPr>
      </w:pPr>
      <w:r>
        <w:rPr>
          <w:rFonts w:ascii="Arial" w:cs="Arial" w:eastAsia="Arial" w:hAnsi="Arial"/>
          <w:sz w:val="20"/>
          <w:szCs w:val="20"/>
          <w:color w:val="auto"/>
        </w:rPr>
        <w:t xml:space="preserve">SG </w:t>
      </w:r>
      <w:r>
        <w:rPr>
          <w:rFonts w:ascii="Arial" w:cs="Arial" w:eastAsia="Arial" w:hAnsi="Arial"/>
          <w:sz w:val="21"/>
          <w:szCs w:val="21"/>
          <w:color w:val="auto"/>
        </w:rPr>
        <w:t>Gaming North America, Inc. (Nevada)</w:t>
      </w:r>
    </w:p>
    <w:p>
      <w:pPr>
        <w:spacing w:after="0"/>
        <w:rPr>
          <w:sz w:val="20"/>
          <w:szCs w:val="20"/>
          <w:color w:val="auto"/>
        </w:rPr>
      </w:pPr>
      <w:r>
        <w:rPr>
          <w:rFonts w:ascii="Arial" w:cs="Arial" w:eastAsia="Arial" w:hAnsi="Arial"/>
          <w:sz w:val="20"/>
          <w:szCs w:val="20"/>
          <w:color w:val="auto"/>
        </w:rPr>
        <w:t>SG Gaming Services Philippines, Inc. (Philippines)</w:t>
      </w:r>
    </w:p>
    <w:p>
      <w:pPr>
        <w:spacing w:after="0" w:line="212" w:lineRule="auto"/>
        <w:rPr>
          <w:sz w:val="20"/>
          <w:szCs w:val="20"/>
          <w:color w:val="auto"/>
        </w:rPr>
      </w:pPr>
      <w:r>
        <w:rPr>
          <w:rFonts w:ascii="Arial" w:cs="Arial" w:eastAsia="Arial" w:hAnsi="Arial"/>
          <w:sz w:val="20"/>
          <w:szCs w:val="20"/>
          <w:color w:val="auto"/>
        </w:rPr>
        <w:t xml:space="preserve">SG Gaming Puerto Rico, LLC (Puerto </w:t>
      </w:r>
      <w:r>
        <w:rPr>
          <w:rFonts w:ascii="Arial" w:cs="Arial" w:eastAsia="Arial" w:hAnsi="Arial"/>
          <w:sz w:val="21"/>
          <w:szCs w:val="21"/>
          <w:color w:val="auto"/>
        </w:rPr>
        <w:t>Rico)</w:t>
      </w:r>
    </w:p>
    <w:p>
      <w:pPr>
        <w:spacing w:after="0" w:line="228" w:lineRule="auto"/>
        <w:rPr>
          <w:sz w:val="20"/>
          <w:szCs w:val="20"/>
          <w:color w:val="auto"/>
        </w:rPr>
      </w:pPr>
      <w:r>
        <w:rPr>
          <w:rFonts w:ascii="Arial" w:cs="Arial" w:eastAsia="Arial" w:hAnsi="Arial"/>
          <w:sz w:val="20"/>
          <w:szCs w:val="20"/>
          <w:color w:val="auto"/>
        </w:rPr>
        <w:t xml:space="preserve">SG Gaming Qingdao Company Limited </w:t>
      </w:r>
      <w:r>
        <w:rPr>
          <w:rFonts w:ascii="Arial" w:cs="Arial" w:eastAsia="Arial" w:hAnsi="Arial"/>
          <w:sz w:val="21"/>
          <w:szCs w:val="21"/>
          <w:color w:val="auto"/>
        </w:rPr>
        <w:t>(China)</w:t>
      </w:r>
    </w:p>
    <w:p>
      <w:pPr>
        <w:spacing w:after="0" w:line="228" w:lineRule="auto"/>
        <w:rPr>
          <w:sz w:val="20"/>
          <w:szCs w:val="20"/>
          <w:color w:val="auto"/>
        </w:rPr>
      </w:pPr>
      <w:r>
        <w:rPr>
          <w:rFonts w:ascii="Arial" w:cs="Arial" w:eastAsia="Arial" w:hAnsi="Arial"/>
          <w:sz w:val="20"/>
          <w:szCs w:val="20"/>
          <w:color w:val="auto"/>
        </w:rPr>
        <w:t xml:space="preserve">SG Gaming Singapore Pte. Ltd. </w:t>
      </w:r>
      <w:r>
        <w:rPr>
          <w:rFonts w:ascii="Arial" w:cs="Arial" w:eastAsia="Arial" w:hAnsi="Arial"/>
          <w:sz w:val="21"/>
          <w:szCs w:val="21"/>
          <w:color w:val="auto"/>
        </w:rPr>
        <w:t>(Singapore)</w:t>
      </w:r>
    </w:p>
    <w:p>
      <w:pPr>
        <w:spacing w:after="0" w:line="228" w:lineRule="auto"/>
        <w:rPr>
          <w:sz w:val="20"/>
          <w:szCs w:val="20"/>
          <w:color w:val="auto"/>
        </w:rPr>
      </w:pPr>
      <w:r>
        <w:rPr>
          <w:rFonts w:ascii="Arial" w:cs="Arial" w:eastAsia="Arial" w:hAnsi="Arial"/>
          <w:sz w:val="20"/>
          <w:szCs w:val="20"/>
          <w:color w:val="auto"/>
        </w:rPr>
        <w:t xml:space="preserve">SG </w:t>
      </w:r>
      <w:r>
        <w:rPr>
          <w:rFonts w:ascii="Arial" w:cs="Arial" w:eastAsia="Arial" w:hAnsi="Arial"/>
          <w:sz w:val="21"/>
          <w:szCs w:val="21"/>
          <w:color w:val="auto"/>
        </w:rPr>
        <w:t>Gaming UK</w:t>
      </w:r>
      <w:r>
        <w:rPr>
          <w:rFonts w:ascii="Arial" w:cs="Arial" w:eastAsia="Arial" w:hAnsi="Arial"/>
          <w:sz w:val="20"/>
          <w:szCs w:val="20"/>
          <w:color w:val="auto"/>
        </w:rPr>
        <w:t xml:space="preserve"> Limited </w:t>
      </w:r>
      <w:r>
        <w:rPr>
          <w:rFonts w:ascii="Arial" w:cs="Arial" w:eastAsia="Arial" w:hAnsi="Arial"/>
          <w:sz w:val="21"/>
          <w:szCs w:val="21"/>
          <w:color w:val="auto"/>
        </w:rPr>
        <w:t>(England and Wales)</w:t>
      </w:r>
    </w:p>
    <w:p>
      <w:pPr>
        <w:spacing w:after="0" w:line="231" w:lineRule="auto"/>
        <w:rPr>
          <w:sz w:val="20"/>
          <w:szCs w:val="20"/>
          <w:color w:val="auto"/>
        </w:rPr>
      </w:pPr>
      <w:r>
        <w:rPr>
          <w:rFonts w:ascii="Arial" w:cs="Arial" w:eastAsia="Arial" w:hAnsi="Arial"/>
          <w:sz w:val="20"/>
          <w:szCs w:val="20"/>
          <w:color w:val="auto"/>
        </w:rPr>
        <w:t xml:space="preserve">SG </w:t>
      </w:r>
      <w:r>
        <w:rPr>
          <w:rFonts w:ascii="Arial" w:cs="Arial" w:eastAsia="Arial" w:hAnsi="Arial"/>
          <w:sz w:val="21"/>
          <w:szCs w:val="21"/>
          <w:color w:val="auto"/>
        </w:rPr>
        <w:t>Gaming, Inc. (Nevada)</w:t>
      </w:r>
    </w:p>
    <w:p>
      <w:pPr>
        <w:spacing w:after="0" w:line="225" w:lineRule="auto"/>
        <w:rPr>
          <w:sz w:val="20"/>
          <w:szCs w:val="20"/>
          <w:color w:val="auto"/>
        </w:rPr>
      </w:pPr>
      <w:r>
        <w:rPr>
          <w:rFonts w:ascii="Arial" w:cs="Arial" w:eastAsia="Arial" w:hAnsi="Arial"/>
          <w:sz w:val="20"/>
          <w:szCs w:val="20"/>
          <w:color w:val="auto"/>
        </w:rPr>
        <w:t>SG Social Holding Company, LLC (Nevada)</w:t>
      </w:r>
    </w:p>
    <w:p>
      <w:pPr>
        <w:spacing w:after="0" w:line="225" w:lineRule="auto"/>
        <w:rPr>
          <w:sz w:val="20"/>
          <w:szCs w:val="20"/>
          <w:color w:val="auto"/>
        </w:rPr>
      </w:pPr>
      <w:r>
        <w:rPr>
          <w:rFonts w:ascii="Arial" w:cs="Arial" w:eastAsia="Arial" w:hAnsi="Arial"/>
          <w:sz w:val="20"/>
          <w:szCs w:val="20"/>
          <w:color w:val="auto"/>
        </w:rPr>
        <w:t>SG Social Holding Company I, LLC (Nevada)</w:t>
      </w:r>
    </w:p>
    <w:p>
      <w:pPr>
        <w:spacing w:after="0" w:line="226" w:lineRule="auto"/>
        <w:rPr>
          <w:sz w:val="20"/>
          <w:szCs w:val="20"/>
          <w:color w:val="auto"/>
        </w:rPr>
      </w:pPr>
      <w:r>
        <w:rPr>
          <w:rFonts w:ascii="Arial" w:cs="Arial" w:eastAsia="Arial" w:hAnsi="Arial"/>
          <w:sz w:val="20"/>
          <w:szCs w:val="20"/>
          <w:color w:val="auto"/>
        </w:rPr>
        <w:t>SG Social Holding Company II, LLC (Nevada)</w:t>
      </w:r>
    </w:p>
    <w:p>
      <w:pPr>
        <w:spacing w:after="0" w:line="225" w:lineRule="auto"/>
        <w:rPr>
          <w:sz w:val="20"/>
          <w:szCs w:val="20"/>
          <w:color w:val="auto"/>
        </w:rPr>
      </w:pPr>
      <w:r>
        <w:rPr>
          <w:rFonts w:ascii="Arial" w:cs="Arial" w:eastAsia="Arial" w:hAnsi="Arial"/>
          <w:sz w:val="20"/>
          <w:szCs w:val="20"/>
          <w:color w:val="auto"/>
        </w:rPr>
        <w:t>SG Supply Chain Services, HK Limited (Hong Kong)</w:t>
      </w:r>
    </w:p>
    <w:p>
      <w:pPr>
        <w:spacing w:after="0" w:line="226" w:lineRule="auto"/>
        <w:rPr>
          <w:sz w:val="20"/>
          <w:szCs w:val="20"/>
          <w:color w:val="auto"/>
        </w:rPr>
      </w:pPr>
      <w:r>
        <w:rPr>
          <w:rFonts w:ascii="Arial" w:cs="Arial" w:eastAsia="Arial" w:hAnsi="Arial"/>
          <w:sz w:val="20"/>
          <w:szCs w:val="20"/>
          <w:color w:val="auto"/>
        </w:rPr>
        <w:t>SGI Lottery LLC (Delaware)</w:t>
      </w:r>
    </w:p>
    <w:p>
      <w:pPr>
        <w:spacing w:after="0" w:line="225" w:lineRule="auto"/>
        <w:rPr>
          <w:sz w:val="20"/>
          <w:szCs w:val="20"/>
          <w:color w:val="auto"/>
        </w:rPr>
      </w:pPr>
      <w:r>
        <w:rPr>
          <w:rFonts w:ascii="Arial" w:cs="Arial" w:eastAsia="Arial" w:hAnsi="Arial"/>
          <w:sz w:val="20"/>
          <w:szCs w:val="20"/>
          <w:color w:val="auto"/>
        </w:rPr>
        <w:t>SGL Global Holdco Ltd (England and Wales)</w:t>
      </w:r>
    </w:p>
    <w:p>
      <w:pPr>
        <w:spacing w:after="0" w:line="223" w:lineRule="auto"/>
        <w:rPr>
          <w:sz w:val="20"/>
          <w:szCs w:val="20"/>
          <w:color w:val="auto"/>
        </w:rPr>
      </w:pPr>
      <w:r>
        <w:rPr>
          <w:rFonts w:ascii="Arial" w:cs="Arial" w:eastAsia="Arial" w:hAnsi="Arial"/>
          <w:sz w:val="20"/>
          <w:szCs w:val="20"/>
          <w:color w:val="auto"/>
        </w:rPr>
        <w:t>SGP Holdco, Inc. (Delaware)</w:t>
      </w:r>
    </w:p>
    <w:p>
      <w:pPr>
        <w:spacing w:after="0" w:line="230" w:lineRule="auto"/>
        <w:rPr>
          <w:sz w:val="20"/>
          <w:szCs w:val="20"/>
          <w:color w:val="auto"/>
        </w:rPr>
      </w:pPr>
      <w:r>
        <w:rPr>
          <w:rFonts w:ascii="Arial" w:cs="Arial" w:eastAsia="Arial" w:hAnsi="Arial"/>
          <w:sz w:val="20"/>
          <w:szCs w:val="20"/>
          <w:color w:val="auto"/>
        </w:rPr>
        <w:t xml:space="preserve">Shenzhen Leli </w:t>
      </w:r>
      <w:r>
        <w:rPr>
          <w:rFonts w:ascii="Arial" w:cs="Arial" w:eastAsia="Arial" w:hAnsi="Arial"/>
          <w:sz w:val="21"/>
          <w:szCs w:val="21"/>
          <w:color w:val="auto"/>
        </w:rPr>
        <w:t>(China) (50%)</w:t>
      </w:r>
    </w:p>
    <w:p>
      <w:pPr>
        <w:spacing w:after="0" w:line="223" w:lineRule="auto"/>
        <w:rPr>
          <w:sz w:val="20"/>
          <w:szCs w:val="20"/>
          <w:color w:val="auto"/>
        </w:rPr>
      </w:pPr>
      <w:r>
        <w:rPr>
          <w:rFonts w:ascii="Arial" w:cs="Arial" w:eastAsia="Arial" w:hAnsi="Arial"/>
          <w:sz w:val="20"/>
          <w:szCs w:val="20"/>
          <w:color w:val="auto"/>
        </w:rPr>
        <w:t>SHFL entertainment (Argentina) S.R.L. (Argentina)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SHFL entertainment (Australasia) Holdings Pty Limited </w:t>
      </w:r>
      <w:r>
        <w:rPr>
          <w:rFonts w:ascii="Arial" w:cs="Arial" w:eastAsia="Arial" w:hAnsi="Arial"/>
          <w:sz w:val="19"/>
          <w:szCs w:val="19"/>
          <w:color w:val="auto"/>
        </w:rPr>
        <w:t>(Australia)</w:t>
      </w:r>
    </w:p>
    <w:p>
      <w:pPr>
        <w:spacing w:after="0" w:line="236" w:lineRule="auto"/>
        <w:rPr>
          <w:sz w:val="20"/>
          <w:szCs w:val="20"/>
          <w:color w:val="auto"/>
        </w:rPr>
      </w:pPr>
      <w:r>
        <w:rPr>
          <w:rFonts w:ascii="Arial" w:cs="Arial" w:eastAsia="Arial" w:hAnsi="Arial"/>
          <w:sz w:val="20"/>
          <w:szCs w:val="20"/>
          <w:color w:val="auto"/>
        </w:rPr>
        <w:t>Shuffle Master Australasia Group Pty Ltd (Australia)</w:t>
      </w:r>
    </w:p>
    <w:p>
      <w:pPr>
        <w:spacing w:after="0" w:line="228" w:lineRule="auto"/>
        <w:rPr>
          <w:sz w:val="20"/>
          <w:szCs w:val="20"/>
          <w:color w:val="auto"/>
        </w:rPr>
      </w:pPr>
      <w:r>
        <w:rPr>
          <w:rFonts w:ascii="Arial" w:cs="Arial" w:eastAsia="Arial" w:hAnsi="Arial"/>
          <w:sz w:val="20"/>
          <w:szCs w:val="20"/>
          <w:color w:val="auto"/>
        </w:rPr>
        <w:t xml:space="preserve">Shuffle Master Australia </w:t>
      </w:r>
      <w:r>
        <w:rPr>
          <w:rFonts w:ascii="Arial" w:cs="Arial" w:eastAsia="Arial" w:hAnsi="Arial"/>
          <w:sz w:val="21"/>
          <w:szCs w:val="21"/>
          <w:color w:val="auto"/>
        </w:rPr>
        <w:t>Pty Ltd (Australia)</w:t>
      </w:r>
    </w:p>
    <w:p>
      <w:pPr>
        <w:spacing w:after="0" w:line="229" w:lineRule="auto"/>
        <w:rPr>
          <w:sz w:val="20"/>
          <w:szCs w:val="20"/>
          <w:color w:val="auto"/>
        </w:rPr>
      </w:pPr>
      <w:r>
        <w:rPr>
          <w:rFonts w:ascii="Arial" w:cs="Arial" w:eastAsia="Arial" w:hAnsi="Arial"/>
          <w:sz w:val="20"/>
          <w:szCs w:val="20"/>
          <w:color w:val="auto"/>
        </w:rPr>
        <w:t xml:space="preserve">Shuffle Master GmbH &amp; Co </w:t>
      </w:r>
      <w:r>
        <w:rPr>
          <w:rFonts w:ascii="Arial" w:cs="Arial" w:eastAsia="Arial" w:hAnsi="Arial"/>
          <w:sz w:val="21"/>
          <w:szCs w:val="21"/>
          <w:color w:val="auto"/>
        </w:rPr>
        <w:t>KG (Austria)</w:t>
      </w:r>
    </w:p>
    <w:p>
      <w:pPr>
        <w:spacing w:after="0" w:line="228" w:lineRule="auto"/>
        <w:rPr>
          <w:sz w:val="20"/>
          <w:szCs w:val="20"/>
          <w:color w:val="auto"/>
        </w:rPr>
      </w:pPr>
      <w:r>
        <w:rPr>
          <w:rFonts w:ascii="Arial" w:cs="Arial" w:eastAsia="Arial" w:hAnsi="Arial"/>
          <w:sz w:val="20"/>
          <w:szCs w:val="20"/>
          <w:color w:val="auto"/>
        </w:rPr>
        <w:t xml:space="preserve">Shuffle </w:t>
      </w:r>
      <w:r>
        <w:rPr>
          <w:rFonts w:ascii="Arial" w:cs="Arial" w:eastAsia="Arial" w:hAnsi="Arial"/>
          <w:sz w:val="21"/>
          <w:szCs w:val="21"/>
          <w:color w:val="auto"/>
        </w:rPr>
        <w:t>Master GmbH (Austria)</w:t>
      </w:r>
    </w:p>
    <w:p>
      <w:pPr>
        <w:spacing w:after="0" w:line="230" w:lineRule="auto"/>
        <w:rPr>
          <w:sz w:val="20"/>
          <w:szCs w:val="20"/>
          <w:color w:val="auto"/>
        </w:rPr>
      </w:pPr>
      <w:r>
        <w:rPr>
          <w:rFonts w:ascii="Arial" w:cs="Arial" w:eastAsia="Arial" w:hAnsi="Arial"/>
          <w:sz w:val="20"/>
          <w:szCs w:val="20"/>
          <w:color w:val="auto"/>
        </w:rPr>
        <w:t xml:space="preserve">Shuffle </w:t>
      </w:r>
      <w:r>
        <w:rPr>
          <w:rFonts w:ascii="Arial" w:cs="Arial" w:eastAsia="Arial" w:hAnsi="Arial"/>
          <w:sz w:val="21"/>
          <w:szCs w:val="21"/>
          <w:color w:val="auto"/>
        </w:rPr>
        <w:t>Master Holding GmbH (Austria)</w:t>
      </w:r>
    </w:p>
    <w:p>
      <w:pPr>
        <w:spacing w:after="0" w:line="223" w:lineRule="auto"/>
        <w:rPr>
          <w:sz w:val="20"/>
          <w:szCs w:val="20"/>
          <w:color w:val="auto"/>
        </w:rPr>
      </w:pPr>
      <w:r>
        <w:rPr>
          <w:rFonts w:ascii="Arial" w:cs="Arial" w:eastAsia="Arial" w:hAnsi="Arial"/>
          <w:sz w:val="20"/>
          <w:szCs w:val="20"/>
          <w:color w:val="auto"/>
        </w:rPr>
        <w:t>Shuffle Master International, Inc. (Nevada)</w:t>
      </w:r>
    </w:p>
    <w:p>
      <w:pPr>
        <w:spacing w:after="0" w:line="231" w:lineRule="auto"/>
        <w:rPr>
          <w:sz w:val="20"/>
          <w:szCs w:val="20"/>
          <w:color w:val="auto"/>
        </w:rPr>
      </w:pPr>
      <w:r>
        <w:rPr>
          <w:rFonts w:ascii="Arial" w:cs="Arial" w:eastAsia="Arial" w:hAnsi="Arial"/>
          <w:sz w:val="20"/>
          <w:szCs w:val="20"/>
          <w:color w:val="auto"/>
        </w:rPr>
        <w:t>Shuffle Master Management-</w:t>
      </w:r>
      <w:r>
        <w:rPr>
          <w:rFonts w:ascii="Arial" w:cs="Arial" w:eastAsia="Arial" w:hAnsi="Arial"/>
          <w:sz w:val="21"/>
          <w:szCs w:val="21"/>
          <w:color w:val="auto"/>
        </w:rPr>
        <w:t>Service GmbH (Austria)</w:t>
      </w:r>
    </w:p>
    <w:p>
      <w:pPr>
        <w:spacing w:after="0" w:line="225" w:lineRule="auto"/>
        <w:rPr>
          <w:sz w:val="20"/>
          <w:szCs w:val="20"/>
          <w:color w:val="auto"/>
        </w:rPr>
      </w:pPr>
      <w:r>
        <w:rPr>
          <w:rFonts w:ascii="Arial" w:cs="Arial" w:eastAsia="Arial" w:hAnsi="Arial"/>
          <w:sz w:val="20"/>
          <w:szCs w:val="20"/>
          <w:color w:val="auto"/>
        </w:rPr>
        <w:t>SidePlay Entertainment Limited (Jersey)</w:t>
      </w:r>
    </w:p>
    <w:p>
      <w:pPr>
        <w:spacing w:after="0" w:line="226" w:lineRule="auto"/>
        <w:rPr>
          <w:sz w:val="20"/>
          <w:szCs w:val="20"/>
          <w:color w:val="auto"/>
        </w:rPr>
      </w:pPr>
      <w:r>
        <w:rPr>
          <w:rFonts w:ascii="Arial" w:cs="Arial" w:eastAsia="Arial" w:hAnsi="Arial"/>
          <w:sz w:val="20"/>
          <w:szCs w:val="20"/>
          <w:color w:val="auto"/>
        </w:rPr>
        <w:t>Sportcast Limited (England and Wales)</w:t>
      </w:r>
    </w:p>
    <w:p>
      <w:pPr>
        <w:spacing w:after="0" w:line="225" w:lineRule="auto"/>
        <w:rPr>
          <w:sz w:val="20"/>
          <w:szCs w:val="20"/>
          <w:color w:val="auto"/>
        </w:rPr>
      </w:pPr>
      <w:r>
        <w:rPr>
          <w:rFonts w:ascii="Arial" w:cs="Arial" w:eastAsia="Arial" w:hAnsi="Arial"/>
          <w:sz w:val="20"/>
          <w:szCs w:val="20"/>
          <w:color w:val="auto"/>
        </w:rPr>
        <w:t>Sportcast LLC (New Jersey)</w:t>
      </w:r>
    </w:p>
    <w:p>
      <w:pPr>
        <w:spacing w:after="0" w:line="225" w:lineRule="auto"/>
        <w:rPr>
          <w:sz w:val="20"/>
          <w:szCs w:val="20"/>
          <w:color w:val="auto"/>
        </w:rPr>
      </w:pPr>
      <w:r>
        <w:rPr>
          <w:rFonts w:ascii="Arial" w:cs="Arial" w:eastAsia="Arial" w:hAnsi="Arial"/>
          <w:sz w:val="20"/>
          <w:szCs w:val="20"/>
          <w:color w:val="auto"/>
        </w:rPr>
        <w:t>Sportcast Pty Limited (Australia)</w:t>
      </w:r>
    </w:p>
    <w:p>
      <w:pPr>
        <w:spacing w:after="0" w:line="226" w:lineRule="auto"/>
        <w:rPr>
          <w:sz w:val="20"/>
          <w:szCs w:val="20"/>
          <w:color w:val="auto"/>
        </w:rPr>
      </w:pPr>
      <w:r>
        <w:rPr>
          <w:rFonts w:ascii="Arial" w:cs="Arial" w:eastAsia="Arial" w:hAnsi="Arial"/>
          <w:sz w:val="20"/>
          <w:szCs w:val="20"/>
          <w:color w:val="auto"/>
        </w:rPr>
        <w:t>Stargames Pty Ltd (Australia)</w:t>
      </w:r>
    </w:p>
    <w:p>
      <w:pPr>
        <w:spacing w:after="0" w:line="222" w:lineRule="auto"/>
        <w:rPr>
          <w:sz w:val="20"/>
          <w:szCs w:val="20"/>
          <w:color w:val="auto"/>
        </w:rPr>
      </w:pPr>
      <w:r>
        <w:rPr>
          <w:rFonts w:ascii="Arial" w:cs="Arial" w:eastAsia="Arial" w:hAnsi="Arial"/>
          <w:sz w:val="20"/>
          <w:szCs w:val="20"/>
          <w:color w:val="auto"/>
        </w:rPr>
        <w:t>Success Trader SZ (China) (50%)</w:t>
      </w:r>
    </w:p>
    <w:p>
      <w:pPr>
        <w:spacing w:after="0" w:line="229" w:lineRule="auto"/>
        <w:rPr>
          <w:sz w:val="20"/>
          <w:szCs w:val="20"/>
          <w:color w:val="auto"/>
        </w:rPr>
      </w:pPr>
      <w:r>
        <w:rPr>
          <w:rFonts w:ascii="Arial" w:cs="Arial" w:eastAsia="Arial" w:hAnsi="Arial"/>
          <w:sz w:val="20"/>
          <w:szCs w:val="20"/>
          <w:color w:val="auto"/>
        </w:rPr>
        <w:t xml:space="preserve">Success Trader Technologies Limited </w:t>
      </w:r>
      <w:r>
        <w:rPr>
          <w:rFonts w:ascii="Arial" w:cs="Arial" w:eastAsia="Arial" w:hAnsi="Arial"/>
          <w:sz w:val="21"/>
          <w:szCs w:val="21"/>
          <w:color w:val="auto"/>
        </w:rPr>
        <w:t>(Hong Kong) (50%)</w:t>
      </w:r>
    </w:p>
    <w:p>
      <w:pPr>
        <w:spacing w:after="0" w:line="230" w:lineRule="auto"/>
        <w:rPr>
          <w:sz w:val="20"/>
          <w:szCs w:val="20"/>
          <w:color w:val="auto"/>
        </w:rPr>
      </w:pPr>
      <w:r>
        <w:rPr>
          <w:rFonts w:ascii="Arial" w:cs="Arial" w:eastAsia="Arial" w:hAnsi="Arial"/>
          <w:sz w:val="20"/>
          <w:szCs w:val="20"/>
          <w:color w:val="auto"/>
        </w:rPr>
        <w:t xml:space="preserve">VIP Gaming Solutions Pty Limited </w:t>
      </w:r>
      <w:r>
        <w:rPr>
          <w:rFonts w:ascii="Arial" w:cs="Arial" w:eastAsia="Arial" w:hAnsi="Arial"/>
          <w:sz w:val="21"/>
          <w:szCs w:val="21"/>
          <w:color w:val="auto"/>
        </w:rPr>
        <w:t>(Australia)</w:t>
      </w:r>
    </w:p>
    <w:p>
      <w:pPr>
        <w:spacing w:after="0" w:line="226" w:lineRule="auto"/>
        <w:rPr>
          <w:sz w:val="20"/>
          <w:szCs w:val="20"/>
          <w:color w:val="auto"/>
        </w:rPr>
      </w:pPr>
      <w:r>
        <w:rPr>
          <w:rFonts w:ascii="Arial" w:cs="Arial" w:eastAsia="Arial" w:hAnsi="Arial"/>
          <w:sz w:val="20"/>
          <w:szCs w:val="20"/>
          <w:color w:val="auto"/>
        </w:rPr>
        <w:t>Wagerlogic (Ireland) Limited (Ireland)</w:t>
      </w:r>
    </w:p>
    <w:p>
      <w:pPr>
        <w:spacing w:after="0" w:line="225" w:lineRule="auto"/>
        <w:rPr>
          <w:sz w:val="20"/>
          <w:szCs w:val="20"/>
          <w:color w:val="auto"/>
        </w:rPr>
      </w:pPr>
      <w:r>
        <w:rPr>
          <w:rFonts w:ascii="Arial" w:cs="Arial" w:eastAsia="Arial" w:hAnsi="Arial"/>
          <w:sz w:val="20"/>
          <w:szCs w:val="20"/>
          <w:color w:val="auto"/>
        </w:rPr>
        <w:t>Wagerlogic (UK) Limited (England and Wales)</w:t>
      </w:r>
    </w:p>
    <w:p>
      <w:pPr>
        <w:spacing w:after="0" w:line="223" w:lineRule="auto"/>
        <w:rPr>
          <w:sz w:val="20"/>
          <w:szCs w:val="20"/>
          <w:color w:val="auto"/>
        </w:rPr>
      </w:pPr>
      <w:r>
        <w:rPr>
          <w:rFonts w:ascii="Arial" w:cs="Arial" w:eastAsia="Arial" w:hAnsi="Arial"/>
          <w:sz w:val="20"/>
          <w:szCs w:val="20"/>
          <w:color w:val="auto"/>
        </w:rPr>
        <w:t>WagerLogic Limited (Cyprus)</w:t>
      </w:r>
    </w:p>
    <w:p>
      <w:pPr>
        <w:spacing w:after="0" w:line="230" w:lineRule="auto"/>
        <w:rPr>
          <w:sz w:val="20"/>
          <w:szCs w:val="20"/>
          <w:color w:val="auto"/>
        </w:rPr>
      </w:pPr>
      <w:r>
        <w:rPr>
          <w:rFonts w:ascii="Arial" w:cs="Arial" w:eastAsia="Arial" w:hAnsi="Arial"/>
          <w:sz w:val="20"/>
          <w:szCs w:val="20"/>
          <w:color w:val="auto"/>
        </w:rPr>
        <w:t xml:space="preserve">WMS Gaming Australia Pty Limited </w:t>
      </w:r>
      <w:r>
        <w:rPr>
          <w:rFonts w:ascii="Arial" w:cs="Arial" w:eastAsia="Arial" w:hAnsi="Arial"/>
          <w:sz w:val="21"/>
          <w:szCs w:val="21"/>
          <w:color w:val="auto"/>
        </w:rPr>
        <w:t>(Australia)</w:t>
      </w:r>
    </w:p>
    <w:p>
      <w:pPr>
        <w:spacing w:after="0" w:line="223" w:lineRule="auto"/>
        <w:rPr>
          <w:sz w:val="20"/>
          <w:szCs w:val="20"/>
          <w:color w:val="auto"/>
        </w:rPr>
      </w:pPr>
      <w:r>
        <w:rPr>
          <w:rFonts w:ascii="Arial" w:cs="Arial" w:eastAsia="Arial" w:hAnsi="Arial"/>
          <w:sz w:val="20"/>
          <w:szCs w:val="20"/>
          <w:color w:val="auto"/>
        </w:rPr>
        <w:t>WMS Gaming International, S.L. (Spain)</w:t>
      </w:r>
    </w:p>
    <w:p>
      <w:pPr>
        <w:spacing w:after="0" w:line="228" w:lineRule="auto"/>
        <w:rPr>
          <w:sz w:val="20"/>
          <w:szCs w:val="20"/>
          <w:color w:val="auto"/>
        </w:rPr>
      </w:pPr>
      <w:r>
        <w:rPr>
          <w:rFonts w:ascii="Arial" w:cs="Arial" w:eastAsia="Arial" w:hAnsi="Arial"/>
          <w:sz w:val="20"/>
          <w:szCs w:val="20"/>
          <w:color w:val="auto"/>
        </w:rPr>
        <w:t xml:space="preserve">WMS Gaming Peru S.R.L. </w:t>
      </w:r>
      <w:r>
        <w:rPr>
          <w:rFonts w:ascii="Arial" w:cs="Arial" w:eastAsia="Arial" w:hAnsi="Arial"/>
          <w:sz w:val="21"/>
          <w:szCs w:val="21"/>
          <w:color w:val="auto"/>
        </w:rPr>
        <w:t>(Peru)</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WMS Gaming Services Europe, S.L. </w:t>
      </w:r>
      <w:r>
        <w:rPr>
          <w:rFonts w:ascii="Arial" w:cs="Arial" w:eastAsia="Arial" w:hAnsi="Arial"/>
          <w:sz w:val="21"/>
          <w:szCs w:val="21"/>
          <w:color w:val="auto"/>
        </w:rPr>
        <w:t>(Spain)</w:t>
      </w:r>
    </w:p>
    <w:p>
      <w:pPr>
        <w:sectPr>
          <w:pgSz w:w="11900" w:h="16838" w:orient="portrait"/>
          <w:cols w:equalWidth="0" w:num="1">
            <w:col w:w="10139"/>
          </w:cols>
          <w:pgMar w:left="320" w:top="1252" w:right="1440"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consent to the incorporation by reference in Registration Statement Nos. 333-05811, 333-44983, 333-110141, 333-134043, 333-157638, 333-161232, 333-191817, 333-197948, 333-200463, 333-213432, 333-213434, and 333-232987 on Form S-8 and No. 333-112452 on Form S-3 of our reports dated March 1, 2022, relating to the financial statements of Scientific Games Corporation and the effectiveness of Scientific Games Corporation’s internal control over financial reporting appearing in this Annual Report on Form 10-K of Scientific Games Corporation for the year ended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121"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22"/>
          <w:szCs w:val="22"/>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Certification by Chief Executive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Barry L. Cottle, certify that:</w:t>
      </w:r>
    </w:p>
    <w:p>
      <w:pPr>
        <w:spacing w:after="0" w:line="293" w:lineRule="exact"/>
        <w:rPr>
          <w:sz w:val="20"/>
          <w:szCs w:val="20"/>
          <w:color w:val="auto"/>
        </w:rPr>
      </w:pPr>
    </w:p>
    <w:p>
      <w:pPr>
        <w:ind w:left="920" w:hanging="324"/>
        <w:spacing w:after="0"/>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Scientific Games Corporation;</w:t>
      </w:r>
    </w:p>
    <w:p>
      <w:pPr>
        <w:spacing w:after="0" w:line="157" w:lineRule="exact"/>
        <w:rPr>
          <w:rFonts w:ascii="Arial" w:cs="Arial" w:eastAsia="Arial" w:hAnsi="Arial"/>
          <w:sz w:val="18"/>
          <w:szCs w:val="18"/>
          <w:color w:val="auto"/>
        </w:rPr>
      </w:pPr>
    </w:p>
    <w:p>
      <w:pPr>
        <w:jc w:val="both"/>
        <w:ind w:left="920" w:right="60" w:hanging="324"/>
        <w:spacing w:after="0" w:line="263" w:lineRule="auto"/>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920" w:right="20" w:hanging="324"/>
        <w:spacing w:after="0" w:line="308" w:lineRule="auto"/>
        <w:tabs>
          <w:tab w:leader="none" w:pos="9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920" w:right="180" w:hanging="324"/>
        <w:spacing w:after="0" w:line="263" w:lineRule="auto"/>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560" w:right="20" w:hanging="316"/>
        <w:spacing w:after="0" w:line="286" w:lineRule="auto"/>
        <w:tabs>
          <w:tab w:leader="none" w:pos="1551" w:val="left"/>
        </w:tabs>
        <w:numPr>
          <w:ilvl w:val="1"/>
          <w:numId w:val="1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ind w:left="1560" w:right="100" w:hanging="316"/>
        <w:spacing w:after="0" w:line="263" w:lineRule="auto"/>
        <w:tabs>
          <w:tab w:leader="none" w:pos="154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1560" w:right="180" w:hanging="316"/>
        <w:spacing w:after="0" w:line="263" w:lineRule="auto"/>
        <w:tabs>
          <w:tab w:leader="none" w:pos="155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560" w:right="240" w:hanging="316"/>
        <w:spacing w:after="0" w:line="286" w:lineRule="auto"/>
        <w:tabs>
          <w:tab w:leader="none" w:pos="1593" w:val="left"/>
        </w:tabs>
        <w:numPr>
          <w:ilvl w:val="1"/>
          <w:numId w:val="1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7"/>
          <w:szCs w:val="17"/>
          <w:color w:val="auto"/>
        </w:rPr>
      </w:pPr>
    </w:p>
    <w:p>
      <w:pPr>
        <w:ind w:left="920" w:hanging="324"/>
        <w:spacing w:after="0" w:line="342" w:lineRule="auto"/>
        <w:tabs>
          <w:tab w:leader="none" w:pos="86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560" w:right="180" w:hanging="316"/>
        <w:spacing w:after="0" w:line="342" w:lineRule="auto"/>
        <w:tabs>
          <w:tab w:leader="none" w:pos="151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560" w:right="460" w:hanging="316"/>
        <w:spacing w:after="0" w:line="277" w:lineRule="auto"/>
        <w:tabs>
          <w:tab w:leader="none" w:pos="152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Barry L. Cottle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27774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54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Barry L. Cottle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ectPr>
          <w:pgSz w:w="11900" w:h="16838" w:orient="portrait"/>
          <w:cols w:equalWidth="0" w:num="1">
            <w:col w:w="11180"/>
          </w:cols>
          <w:pgMar w:left="380" w:top="153"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2"/>
          <w:szCs w:val="2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by Chief Financial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Constance P. James, certify that:</w:t>
      </w:r>
    </w:p>
    <w:p>
      <w:pPr>
        <w:spacing w:after="0" w:line="293" w:lineRule="exact"/>
        <w:rPr>
          <w:sz w:val="20"/>
          <w:szCs w:val="20"/>
          <w:color w:val="auto"/>
        </w:rPr>
      </w:pPr>
    </w:p>
    <w:p>
      <w:pPr>
        <w:ind w:left="920" w:hanging="324"/>
        <w:spacing w:after="0"/>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Scientific Games Corporation;</w:t>
      </w:r>
    </w:p>
    <w:p>
      <w:pPr>
        <w:spacing w:after="0" w:line="144" w:lineRule="exact"/>
        <w:rPr>
          <w:rFonts w:ascii="Arial" w:cs="Arial" w:eastAsia="Arial" w:hAnsi="Arial"/>
          <w:sz w:val="18"/>
          <w:szCs w:val="18"/>
          <w:color w:val="auto"/>
        </w:rPr>
      </w:pPr>
    </w:p>
    <w:p>
      <w:pPr>
        <w:jc w:val="both"/>
        <w:ind w:left="920" w:right="60" w:hanging="324"/>
        <w:spacing w:after="0" w:line="248" w:lineRule="auto"/>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left="920" w:right="20" w:hanging="324"/>
        <w:spacing w:after="0" w:line="291" w:lineRule="auto"/>
        <w:tabs>
          <w:tab w:leader="none" w:pos="9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920" w:right="180" w:hanging="324"/>
        <w:spacing w:after="0" w:line="248" w:lineRule="auto"/>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8"/>
          <w:szCs w:val="18"/>
          <w:color w:val="auto"/>
        </w:rPr>
      </w:pPr>
    </w:p>
    <w:p>
      <w:pPr>
        <w:ind w:left="1560" w:right="20" w:hanging="316"/>
        <w:spacing w:after="0" w:line="270" w:lineRule="auto"/>
        <w:tabs>
          <w:tab w:leader="none" w:pos="1551" w:val="left"/>
        </w:tabs>
        <w:numPr>
          <w:ilvl w:val="1"/>
          <w:numId w:val="1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7"/>
          <w:szCs w:val="17"/>
          <w:color w:val="auto"/>
        </w:rPr>
      </w:pPr>
    </w:p>
    <w:p>
      <w:pPr>
        <w:ind w:left="1560" w:right="100" w:hanging="316"/>
        <w:spacing w:after="0" w:line="248" w:lineRule="auto"/>
        <w:tabs>
          <w:tab w:leader="none" w:pos="154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1560" w:right="180" w:hanging="316"/>
        <w:spacing w:after="0" w:line="248" w:lineRule="auto"/>
        <w:tabs>
          <w:tab w:leader="none" w:pos="155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8"/>
          <w:szCs w:val="18"/>
          <w:color w:val="auto"/>
        </w:rPr>
      </w:pPr>
    </w:p>
    <w:p>
      <w:pPr>
        <w:ind w:left="1560" w:right="300" w:hanging="316"/>
        <w:spacing w:after="0" w:line="270" w:lineRule="auto"/>
        <w:tabs>
          <w:tab w:leader="none" w:pos="1548" w:val="left"/>
        </w:tabs>
        <w:numPr>
          <w:ilvl w:val="1"/>
          <w:numId w:val="1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7"/>
          <w:szCs w:val="17"/>
          <w:color w:val="auto"/>
        </w:rPr>
      </w:pPr>
    </w:p>
    <w:p>
      <w:pPr>
        <w:ind w:left="920" w:right="140" w:hanging="324"/>
        <w:spacing w:after="0" w:line="324" w:lineRule="auto"/>
        <w:tabs>
          <w:tab w:leader="none" w:pos="9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6"/>
          <w:szCs w:val="16"/>
          <w:color w:val="auto"/>
        </w:rPr>
      </w:pPr>
    </w:p>
    <w:p>
      <w:pPr>
        <w:ind w:left="1560" w:right="140" w:hanging="316"/>
        <w:spacing w:after="0" w:line="324" w:lineRule="auto"/>
        <w:tabs>
          <w:tab w:leader="none" w:pos="1551"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560" w:right="420" w:hanging="316"/>
        <w:spacing w:after="0" w:line="261" w:lineRule="auto"/>
        <w:tabs>
          <w:tab w:leader="none" w:pos="154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40640</wp:posOffset>
            </wp:positionV>
            <wp:extent cx="27774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4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Constance P. James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ectPr>
          <w:pgSz w:w="11900" w:h="16838" w:orient="portrait"/>
          <w:cols w:equalWidth="0" w:num="1">
            <w:col w:w="11180"/>
          </w:cols>
          <w:pgMar w:left="380" w:top="153"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connection with the Annual Report on Form 10-K of Scientific Games Corporation (the “Company”) for the period ended December 31, 2021 as filed with the Securities and Exchange Commission on the date hereof (the “Report”), I, Barry L. Cottle, Chief Executive Officer of the Company, certify, pursuant to 18 U.S.C. § 1350, as adopted pursuant to Section 906 of the Sarbanes-Oxley Act of 2002, that, to my knowledge:</w:t>
      </w:r>
    </w:p>
    <w:p>
      <w:pPr>
        <w:spacing w:after="0" w:line="192" w:lineRule="exact"/>
        <w:rPr>
          <w:sz w:val="20"/>
          <w:szCs w:val="20"/>
          <w:color w:val="auto"/>
        </w:rPr>
      </w:pPr>
    </w:p>
    <w:p>
      <w:pPr>
        <w:ind w:left="640" w:hanging="308"/>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Barry L. Cottle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40640</wp:posOffset>
            </wp:positionV>
            <wp:extent cx="35318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54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Barry L. Cottle</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153"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connection with the Annual Report on Form 10-K of Scientific Games Corporation (the “Company”) for the period ended December 31, 2021 as filed with the Securities and Exchange Commission on the date hereof (the “Report”), I, Constance P. James, Chief Financial Officer of the Company, certify, pursuant to 18 U.S.C. § 1350, as adopted pursuant to Section 906 of the Sarbanes Oxley Act of 2002, that, to my knowledge:</w:t>
      </w:r>
    </w:p>
    <w:p>
      <w:pPr>
        <w:spacing w:after="0" w:line="192" w:lineRule="exact"/>
        <w:rPr>
          <w:sz w:val="20"/>
          <w:szCs w:val="20"/>
          <w:color w:val="auto"/>
        </w:rPr>
      </w:pPr>
    </w:p>
    <w:p>
      <w:pPr>
        <w:ind w:left="640" w:hanging="308"/>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40640</wp:posOffset>
            </wp:positionV>
            <wp:extent cx="35318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54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Constance P. James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126" w:right="339" w:bottom="1440" w:gutter="0" w:footer="0" w:header="0"/>
        </w:sectPr>
      </w:pPr>
    </w:p>
    <w:bookmarkStart w:id="213" w:name="page214"/>
    <w:bookmarkEnd w:id="213"/>
    <w:p>
      <w:pPr>
        <w:ind w:left="10320"/>
        <w:spacing w:after="0"/>
        <w:rPr>
          <w:sz w:val="20"/>
          <w:szCs w:val="20"/>
          <w:color w:val="auto"/>
        </w:rPr>
      </w:pPr>
      <w:r>
        <w:rPr>
          <w:rFonts w:ascii="Arial" w:cs="Arial" w:eastAsia="Arial" w:hAnsi="Arial"/>
          <w:sz w:val="16"/>
          <w:szCs w:val="16"/>
          <w:b w:val="1"/>
          <w:bCs w:val="1"/>
          <w:color w:val="auto"/>
        </w:rPr>
        <w:t>Exhibit 99.5</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Regulations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and Suitability Determinations- Generally</w:t>
      </w:r>
    </w:p>
    <w:p>
      <w:pPr>
        <w:spacing w:after="0" w:line="212"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The manufacture, distribution and operation of gaming equipment and related software is subject to regulation and approval by various city, county, state, provincial, federal, tribal and foreign agencies (collectively, “gaming authorities”). Gaming laws require us to obtain licenses or findings of suitability from gaming authorities for our company, including each of our subsidiaries engaged in manufacturing, distributing and operating gaming products and services, and certain of our directors, officers and employees. The criteria used by gaming authorities to make determinations as to qualification and suitability of an applicant varies among jurisdictions, but generally require the submission of detailed personal and financial information followed by a thorough investigation. The burden of demonstrating suitability and the cost of the investigation resides with the applicant. In evaluating individual applicants, gaming authorities consider the individual’s character, criminal and financial history and, in some cases, the character of those with whom the applicant associates. Gaming authorities have very broad discretion in determining whether an applicant qualifies for licensing or should be found suitable. Gaming authorities may, subject to certain administrative proceeding requirements, (i) deny an application, or limit, condition, restrict, revoke or suspend any license, registration, finding of suitability or approval and (ii) fine any entity or person licensed, registered or found suitable or approved, for any cause they deem reasonable.</w:t>
      </w:r>
    </w:p>
    <w:p>
      <w:pPr>
        <w:spacing w:after="0" w:line="194" w:lineRule="exact"/>
        <w:rPr>
          <w:sz w:val="20"/>
          <w:szCs w:val="20"/>
          <w:color w:val="auto"/>
        </w:rPr>
      </w:pPr>
    </w:p>
    <w:p>
      <w:pPr>
        <w:ind w:right="400"/>
        <w:spacing w:after="0" w:line="209" w:lineRule="auto"/>
        <w:rPr>
          <w:sz w:val="20"/>
          <w:szCs w:val="20"/>
          <w:color w:val="auto"/>
        </w:rPr>
      </w:pPr>
      <w:r>
        <w:rPr>
          <w:rFonts w:ascii="Arial" w:cs="Arial" w:eastAsia="Arial" w:hAnsi="Arial"/>
          <w:sz w:val="18"/>
          <w:szCs w:val="18"/>
          <w:color w:val="auto"/>
        </w:rPr>
        <w:t>If any director, officer or employee of ours fails to qualify for a license or is found unsuitable (including due to the failure to submit the required documentation or application) by a gaming authority, we may deem it necessary, or be required to, sever our relationship with such person, which may include terminating the employment of any such person.</w:t>
      </w:r>
    </w:p>
    <w:p>
      <w:pPr>
        <w:spacing w:after="0" w:line="2" w:lineRule="exact"/>
        <w:rPr>
          <w:sz w:val="20"/>
          <w:szCs w:val="20"/>
          <w:color w:val="auto"/>
        </w:rPr>
      </w:pPr>
    </w:p>
    <w:p>
      <w:pPr>
        <w:ind w:right="20"/>
        <w:spacing w:after="0" w:line="210" w:lineRule="auto"/>
        <w:rPr>
          <w:sz w:val="20"/>
          <w:szCs w:val="20"/>
          <w:color w:val="auto"/>
        </w:rPr>
      </w:pPr>
      <w:r>
        <w:rPr>
          <w:rFonts w:ascii="Arial" w:cs="Arial" w:eastAsia="Arial" w:hAnsi="Arial"/>
          <w:sz w:val="18"/>
          <w:szCs w:val="18"/>
          <w:color w:val="auto"/>
        </w:rPr>
        <w:t>Gaming authorities may investigate any individual or entity having a material relationship to, or material involvement with, us or any of our subsidiaries, to determine whether such individual or entity is suitable or should be licensed as a business associate of ours. In addition, gaming authorities in Nevada, as well as other jurisdictions, monitor the activities of the entities they regulate both in their respective jurisdiction and in other jurisdictions to ensure that such entities are in compliance with local standards on a worldwide basis. The Nevada gaming authorities require us and our gaming subsidiaries, such as SG Gaming, Inc. and NYX Digital Gaming (USA), LLC, to maintain Nevada standards of conduct for all of our gaming activities and operations worldwide.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Requirements of Security Holders</w:t>
      </w:r>
    </w:p>
    <w:p>
      <w:pPr>
        <w:spacing w:after="0" w:line="212"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Many jurisdictions require certain of our stockholders or holders of our debt securities to file an application, be investigated, and be found suitable to own any of our debt securities. For example, a holder of our stock or of our issued debt may be required to file an application, be investigated and be subject to a suitability hearing as a beneficial holder if the Nevada Gaming Commission has reason to believe that the holder’s ownership in our securities would be inconsistent with the commission’s public policies or those of the state of Nevada.</w:t>
      </w:r>
    </w:p>
    <w:p>
      <w:pPr>
        <w:spacing w:after="0" w:line="190"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Many jurisdictions also require any person who acquires beneficial ownership of more than a certain percentage (typically five percent) of our voting securities and, in some jurisdictions, our non-voting securities, to report the acquisition to the gaming authorities and apply for a finding of suitability. However, most gaming authorities, allow an “institutional investor” to apply for a waiver that allows such institutional investor to acquire, in most cases, up to ten percent of our voting securities without applying for a finding of suitability.</w:t>
      </w:r>
    </w:p>
    <w:p>
      <w:pPr>
        <w:spacing w:after="0" w:line="190"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Any person who is found unsuitable by a gaming authority may be prohibited by applicable gaming regulations from holding, directly or indirectly, the beneficial ownership of any voting security or debt security of any public corporation which is registered with the gaming authority. In light of these regulations and their potential impact on our business, our amended and restated articles of incorporation and amended and restated bylaws prohibit persons or entities who fail to comply with informational or other regulatory requirements under applicable gaming laws, who are found unsuitable to hold our common stock by gaming authorities, whose stock ownership adversely affects our gaming licenses, or is a purported transferee of a stockholder who acquires shares made invalid pursuant to our amended and restated articles of incorporation and amended and restated bylaws, from owning stock in our company.</w:t>
      </w:r>
    </w:p>
    <w:p>
      <w:pPr>
        <w:spacing w:after="0" w:line="192"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Any person who holds, directly or indirectly, any beneficial ownership of our securities, and, to the extent applicable, fails or refuses to apply for a license or a finding of suitability within the time period prescribed by the applicable gaming authorities, may be denied a license or found unsuitable, as applicable, and may be found guilty of a criminal offense. The same restrictions may also apply to a record owner who fails or refuses to identify a beneficial owner of our securities. Furthermore, we may be subject to disciplinary action if, after we receive notice that a person is unsuitable to be a stockholder or to have any other relationship with us or any of our subsidiaries, we:</w:t>
      </w:r>
    </w:p>
    <w:p>
      <w:pPr>
        <w:spacing w:after="0" w:line="174"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pay that person any dividend or interest upon our voting securities;</w:t>
      </w:r>
    </w:p>
    <w:p>
      <w:pPr>
        <w:ind w:left="660" w:hanging="328"/>
        <w:spacing w:after="0" w:line="203"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conferred through securities held by that person;</w:t>
      </w:r>
    </w:p>
    <w:p>
      <w:pPr>
        <w:ind w:left="660" w:hanging="328"/>
        <w:spacing w:after="0" w:line="203"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w:t>
      </w:r>
    </w:p>
    <w:p>
      <w:pPr>
        <w:ind w:left="660" w:hanging="328"/>
        <w:spacing w:after="0" w:line="215" w:lineRule="auto"/>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make any payment to the unsuitable person by way of principal, redemption, conversation, exchange, liquidation or similar transaction; or</w:t>
      </w:r>
    </w:p>
    <w:p>
      <w:pPr>
        <w:ind w:left="660" w:right="580" w:hanging="328"/>
        <w:spacing w:after="0" w:line="226"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fail to pursue all lawful efforts to terminate our relationship with that person, including, if necessary, the immediate purchase of said voting securities for cash at fair market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and Approval of Certain Transactions or Changes in Directors and Officers</w:t>
      </w:r>
    </w:p>
    <w:p>
      <w:pPr>
        <w:sectPr>
          <w:pgSz w:w="11900" w:h="16838" w:orient="portrait"/>
          <w:cols w:equalWidth="0" w:num="1">
            <w:col w:w="11240"/>
          </w:cols>
          <w:pgMar w:left="320" w:top="351" w:right="339" w:bottom="1440" w:gutter="0" w:footer="0" w:header="0"/>
        </w:sectPr>
      </w:pPr>
    </w:p>
    <w:bookmarkStart w:id="214" w:name="page215"/>
    <w:bookmarkEnd w:id="214"/>
    <w:p>
      <w:pPr>
        <w:ind w:right="80"/>
        <w:spacing w:after="0" w:line="235" w:lineRule="auto"/>
        <w:rPr>
          <w:sz w:val="20"/>
          <w:szCs w:val="20"/>
          <w:color w:val="auto"/>
        </w:rPr>
      </w:pPr>
      <w:r>
        <w:rPr>
          <w:rFonts w:ascii="Arial" w:cs="Arial" w:eastAsia="Arial" w:hAnsi="Arial"/>
          <w:sz w:val="18"/>
          <w:szCs w:val="18"/>
          <w:color w:val="auto"/>
        </w:rPr>
        <w:t>Depending on the jurisdiction, we may be required to notify, or obtain approval from gaming authorities with respect to certain transactions to which we or any of subsidiaries are a party, including the following:</w:t>
      </w:r>
    </w:p>
    <w:p>
      <w:pPr>
        <w:spacing w:after="0" w:line="173"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material loans, leases, sales of securities and similar financing transactions;</w:t>
      </w:r>
    </w:p>
    <w:p>
      <w:pPr>
        <w:ind w:left="660" w:right="600" w:hanging="328"/>
        <w:spacing w:after="0" w:line="203"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public offering of our securities (or those of our subsidiaries) if the securities or their proceeds are intended to be used for certain gaming expenditures;</w:t>
      </w:r>
    </w:p>
    <w:p>
      <w:pPr>
        <w:ind w:left="660" w:hanging="328"/>
        <w:spacing w:after="0" w:line="203"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repurchases of our voting securities (such as repurchases that treat security holders differently) above the current market price; and</w:t>
      </w: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recapitalizations proposed in response to tender offers.</w:t>
      </w:r>
    </w:p>
    <w:p>
      <w:pPr>
        <w:spacing w:after="0" w:line="196"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In addition, change of control transactions (whether through merger, consolidation, stock or asset acquisitions or otherwise) require prior approval of gaming authorities in certain jurisdictions. Entities seeking to acquire control of us or one of our subsidiaries must satisfy a variety of stringent standards established by the gaming authorities prior to assuming control. Gaming authorities may also require controlling stockholders, officers, directors and other persons having a material relationship with the proposed acquirer to be investigated and licensed as part of the approval process relating to a change of control transaction.</w:t>
      </w:r>
    </w:p>
    <w:p>
      <w:pPr>
        <w:spacing w:after="0" w:line="189"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Any change in our directors or officers, including the directors or officers of our licensed subsidiaries, must be reported to or, if such change relates to a position in which the individual is required to be licensed, qualified, found suitable or approved by the requisite gaming authority.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Testing and Approvals for Gaming Products</w:t>
      </w:r>
    </w:p>
    <w:p>
      <w:pPr>
        <w:spacing w:after="0" w:line="212"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 Nevada and in most other jurisdictions, gaming devices and systems may not be sold unless they have been approved by the relevant regulatory authority (or an agency of such authority). The authority will conduct rigorous testing of the gaming device or system and related equipment through a testing laboratory (which may be run by such gaming authority or by an independent third party) and may require a field trial of the gaming device, platform or system before determining that the gaming device, platform or system meets the agency’s strict technical standards. As part of the approval process, gaming authorities may require equipment and software modifications and several rounds of approval.</w:t>
      </w:r>
    </w:p>
    <w:p>
      <w:pPr>
        <w:spacing w:after="0" w:line="192"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color w:val="auto"/>
        </w:rPr>
        <w:t>We do not have control over the length of time that any regulatory agency or testing laboratory takes to review our products. However, we work closely with the gaming authority’s staff, or the staff of the independent testing laboratory, as the case may be, to timely respond to inquiries and assist where possible in the evaluation, inspection and review of our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Registration</w:t>
      </w:r>
    </w:p>
    <w:p>
      <w:pPr>
        <w:spacing w:after="0" w:line="212"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The Federal Gambling Devices Act of 1962 (commonly known as the Johnson Act) generally makes it unlawful for a person to manufacture, transport or receive gaming machines or components across state lines unless that person has first registered with the Criminal Division of the United States Department of Justice. As required by the Johnson Act, certain of our entities must register and renew their registration annually with the Criminal Division of the United States Department of Justice in order to manufacture, sell, distribute, or operate gaming equipment. The Johnson Act also imposes on us various record-keeping and equipment-identification requirements. A violation of the Johnson Act may result in the seizure and forfeiture of gaming equipment, as well as the imposition of other penalties.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Native American Regulation</w:t>
      </w:r>
    </w:p>
    <w:p>
      <w:pPr>
        <w:spacing w:after="0" w:line="212"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Numerous Native American tribes have become engaged in or have licensed gaming activities on Native American tribal lands as a means of generating revenue for tribal governments. Gaming on Native American lands, including the terms and conditions under which gaming equipment and systems can be sold or leased to Native American tribes, is or may be subject to regulation under the laws of the tribes, the laws of the state, and the Indian Gaming Regulatory Act of 1988 (“IGRA”), which includes regulation and oversight by the National Indian Gaming Commission (“NIGC”) and the Secretary of the United States Department of the Interior. Furthermore, gaming on Native American lands may also be subject to the provisions of contracts (known as compacts) between states and Native American tribes, which are also administered by the Secretary of the United States Department of the Interior.</w:t>
      </w:r>
    </w:p>
    <w:p>
      <w:pPr>
        <w:spacing w:after="0" w:line="187"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The IGRA classifies legalized gaming into three categories: “Class I” gaming consists of traditional Native American social and ceremonial games; “Class II” gaming consists of bingo, electronic aids to bingo, and, if played at the same location where bingo is offered, pull-tabs and other games similar to bingo; and “Class III” gaming consists of all other forms of gaming that are not included in either Class I or Class II, including traditional casino gaming machines.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Class I gaming is regulated exclusively at the Native American tribe level. We do not currently offer Class I gaming products or services.</w:t>
      </w:r>
    </w:p>
    <w:p>
      <w:pPr>
        <w:spacing w:after="0" w:line="212"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Class II gaming is regulated by the NIGC and the laws of the Native American tribe conducting such gaming. Subject to the detailed requirements of the IGRA, federally recognized Native American tribes are typically permitted to conduct Class II gaming on Indian lands pursuant to tribal ordinances approved by the NIGC.</w:t>
      </w:r>
    </w:p>
    <w:p>
      <w:pPr>
        <w:spacing w:after="0" w:line="190"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 IGRA generally permits Native American tribes to conduct Class III gaming activities on reservation lands subject to the detailed requirements of the IGRA, including NIGC approval of the Native American tribe’s gaming ordinance and the entering into of a tribal-state compact between the Native American tribe and the state in which the Native American tribe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5" w:right="339" w:bottom="1440" w:gutter="0" w:footer="0" w:header="0"/>
        </w:sectPr>
      </w:pPr>
    </w:p>
    <w:bookmarkStart w:id="215" w:name="page216"/>
    <w:bookmarkEnd w:id="215"/>
    <w:p>
      <w:pPr>
        <w:ind w:right="120"/>
        <w:spacing w:after="0" w:line="224" w:lineRule="auto"/>
        <w:rPr>
          <w:sz w:val="20"/>
          <w:szCs w:val="20"/>
          <w:color w:val="auto"/>
        </w:rPr>
      </w:pPr>
      <w:r>
        <w:rPr>
          <w:rFonts w:ascii="Arial" w:cs="Arial" w:eastAsia="Arial" w:hAnsi="Arial"/>
          <w:sz w:val="18"/>
          <w:szCs w:val="18"/>
          <w:color w:val="auto"/>
        </w:rPr>
        <w:t>intends to conduct Class III gaming activities on its trust lands. Tribal-state compacts vary from state to state. Many require that gaming suppliers meet ongoing registration and licensing requirements established by the state and/or the tribe and some impose background check requirements on the gaming suppliers’ officers, directors and shareholders.</w:t>
      </w:r>
    </w:p>
    <w:p>
      <w:pPr>
        <w:spacing w:after="0" w:line="190"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color w:val="auto"/>
        </w:rPr>
        <w:t>Under the IGRA, tribes are required to regulate gaming on their tribal lands under ordinances approved by the NIGC. These ordinances may impose standards and technical requirements on hardware and software and may impose registration, licensing and background check requirements on gaming suppliers and their officers, directors and shareholders.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12" w:lineRule="exact"/>
        <w:rPr>
          <w:sz w:val="20"/>
          <w:szCs w:val="20"/>
          <w:color w:val="auto"/>
        </w:rPr>
      </w:pPr>
    </w:p>
    <w:p>
      <w:pPr>
        <w:ind w:right="220"/>
        <w:spacing w:after="0" w:line="228" w:lineRule="auto"/>
        <w:rPr>
          <w:sz w:val="20"/>
          <w:szCs w:val="20"/>
          <w:color w:val="auto"/>
        </w:rPr>
      </w:pPr>
      <w:r>
        <w:rPr>
          <w:rFonts w:ascii="Arial" w:cs="Arial" w:eastAsia="Arial" w:hAnsi="Arial"/>
          <w:sz w:val="17"/>
          <w:szCs w:val="17"/>
          <w:color w:val="auto"/>
        </w:rPr>
        <w:t>We engage in the manufacture, distribution and operation of gaming equipment and systems and related products, as well as license our games and intellectual property, in various international markets worldwide. Many foreign jurisdictions permit the importation, sale and/or operation of gaming equipment in casino and non-casino environments. Where importation is permitted, some jurisdictions prohibit or restrict the payout feature of the traditional gaming machine or limit the operation of gaming machines to a controlled number of casinos or casino-like locations. Each gaming machine must comply with the individual jurisdiction’s regulations. Some jurisdictions require the licensing of gaming suppliers.</w:t>
      </w:r>
    </w:p>
    <w:p>
      <w:pPr>
        <w:spacing w:after="0" w:line="192"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In the U.K., the Gambling Act of 2005, and the accompanying secondary legislation, regulates, among other things, the type of licensed gaming activity that is carried out by operators, the licensing of the various types of venues for the conduct of licensed gaming activities, the categories and number of gaming machines allowed in each type of venue, the licensing and regulation of the supply and operation of those machines and the issuance of technical specifications, standards and licensing requirements for each category of gaming device. As of October 2019, the UK Government reduced the maximum stake on a fixed odds betting terminal (also known as a category B2 gaming machine), which we supply to land-based bookmakers, from £100 to £2. As part of the pending UK Government review of the Gambling Act 2005 there have been calls to introduce stake limits for online gambling. The UK Government is currently considering submissions, following a call for evidence, and the delayed White Paper is expected to be published in May 2022. As of April 2019, remote gaming duty was increased to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Violation of Gaming Laws</w:t>
      </w:r>
    </w:p>
    <w:p>
      <w:pPr>
        <w:spacing w:after="0" w:line="144" w:lineRule="exact"/>
        <w:rPr>
          <w:sz w:val="20"/>
          <w:szCs w:val="20"/>
          <w:color w:val="auto"/>
        </w:rPr>
      </w:pPr>
    </w:p>
    <w:p>
      <w:pPr>
        <w:ind w:right="340"/>
        <w:spacing w:after="0" w:line="219" w:lineRule="auto"/>
        <w:rPr>
          <w:sz w:val="20"/>
          <w:szCs w:val="20"/>
          <w:color w:val="auto"/>
        </w:rPr>
      </w:pPr>
      <w:r>
        <w:rPr>
          <w:rFonts w:ascii="Arial" w:cs="Arial" w:eastAsia="Arial" w:hAnsi="Arial"/>
          <w:sz w:val="18"/>
          <w:szCs w:val="18"/>
          <w:color w:val="auto"/>
        </w:rPr>
        <w:t>If we or any of our subsidiaries violate applicable gaming laws, our gaming licenses could be limited, conditioned, suspended or revoked by gaming authorities, and we could be subject to substantial fines. Furthermore, a violation of laws in one jurisdiction could result in disciplinary action in other jurisdictions. As a result, a violation of applicable gaming laws by us or any of our subsidiaries could have a material adverse effect on our financial condition, prospects and results of operations.</w:t>
      </w: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sectPr>
      <w:pgSz w:w="11900" w:h="16838" w:orient="portrait"/>
      <w:cols w:equalWidth="0" w:num="1">
        <w:col w:w="11140"/>
      </w:cols>
      <w:pgMar w:left="320" w:top="89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lvl w:ilvl="1">
      <w:lvlJc w:val="left"/>
      <w:lvlText w:val="•"/>
      <w:numFmt w:val="bullet"/>
      <w:start w:val="1"/>
    </w:lvl>
  </w:abstractNum>
  <w:abstractNum w:abstractNumId="27">
    <w:nsid w:val="A0382C5"/>
    <w:multiLevelType w:val="hybridMultilevel"/>
    <w:lvl w:ilvl="0">
      <w:lvlJc w:val="left"/>
      <w:lvlText w:val="(%1)"/>
      <w:numFmt w:val="decimal"/>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1)"/>
      <w:numFmt w:val="decimal"/>
      <w:start w:val="1"/>
    </w:lvl>
  </w:abstractNum>
  <w:abstractNum w:abstractNumId="34">
    <w:nsid w:val="6A5EE64"/>
    <w:multiLevelType w:val="hybridMultilevel"/>
    <w:lvl w:ilvl="0">
      <w:lvlJc w:val="left"/>
      <w:lvlText w:val="•"/>
      <w:numFmt w:val="bullet"/>
      <w:start w:val="1"/>
    </w:lvl>
    <w:lvl w:ilvl="1">
      <w:lvlJc w:val="left"/>
      <w:lvlText w:val="\endash "/>
      <w:numFmt w:val="bullet"/>
      <w:start w:val="1"/>
    </w:lvl>
  </w:abstractNum>
  <w:abstractNum w:abstractNumId="35">
    <w:nsid w:val="14330624"/>
    <w:multiLevelType w:val="hybridMultilevel"/>
    <w:lvl w:ilvl="0">
      <w:lvlJc w:val="left"/>
      <w:lvlText w:val="(%1)"/>
      <w:numFmt w:val="decimal"/>
      <w:start w:val="1"/>
    </w:lvl>
  </w:abstractNum>
  <w:abstractNum w:abstractNumId="36">
    <w:nsid w:val="7FFFCA11"/>
    <w:multiLevelType w:val="hybridMultilevel"/>
    <w:lvl w:ilvl="0">
      <w:lvlJc w:val="left"/>
      <w:lvlText w:val="(%1)"/>
      <w:numFmt w:val="decimal"/>
      <w:start w:val="1"/>
    </w:lvl>
  </w:abstractNum>
  <w:abstractNum w:abstractNumId="37">
    <w:nsid w:val="1A27709E"/>
    <w:multiLevelType w:val="hybridMultilevel"/>
    <w:lvl w:ilvl="0">
      <w:lvlJc w:val="left"/>
      <w:lvlText w:val="(%1)"/>
      <w:numFmt w:val="decimal"/>
      <w:start w:val="1"/>
    </w:lvl>
  </w:abstractNum>
  <w:abstractNum w:abstractNumId="38">
    <w:nsid w:val="71EA1109"/>
    <w:multiLevelType w:val="hybridMultilevel"/>
    <w:lvl w:ilvl="0">
      <w:lvlJc w:val="left"/>
      <w:lvlText w:val="(%1)"/>
      <w:numFmt w:val="decimal"/>
      <w:start w:val="1"/>
    </w:lvl>
  </w:abstractNum>
  <w:abstractNum w:abstractNumId="39">
    <w:nsid w:val="100F59DC"/>
    <w:multiLevelType w:val="hybridMultilevel"/>
    <w:lvl w:ilvl="0">
      <w:lvlJc w:val="left"/>
      <w:lvlText w:val="(%1)"/>
      <w:numFmt w:val="decimal"/>
      <w:start w:val="1"/>
    </w:lvl>
  </w:abstractNum>
  <w:abstractNum w:abstractNumId="40">
    <w:nsid w:val="7FB7E0AA"/>
    <w:multiLevelType w:val="hybridMultilevel"/>
    <w:lvl w:ilvl="0">
      <w:lvlJc w:val="left"/>
      <w:lvlText w:val="(%1)"/>
      <w:numFmt w:val="decimal"/>
      <w:start w:val="1"/>
    </w:lvl>
  </w:abstractNum>
  <w:abstractNum w:abstractNumId="41">
    <w:nsid w:val="6EB5BD4"/>
    <w:multiLevelType w:val="hybridMultilevel"/>
    <w:lvl w:ilvl="0">
      <w:lvlJc w:val="left"/>
      <w:lvlText w:val="(%1)"/>
      <w:numFmt w:val="decimal"/>
      <w:start w:val="1"/>
    </w:lvl>
  </w:abstractNum>
  <w:abstractNum w:abstractNumId="42">
    <w:nsid w:val="6F6DD9AC"/>
    <w:multiLevelType w:val="hybridMultilevel"/>
    <w:lvl w:ilvl="0">
      <w:lvlJc w:val="left"/>
      <w:lvlText w:val="(%1)"/>
      <w:numFmt w:val="decimal"/>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1)"/>
      <w:numFmt w:val="decimal"/>
      <w:start w:val="1"/>
    </w:lvl>
  </w:abstractNum>
  <w:abstractNum w:abstractNumId="45">
    <w:nsid w:val="76272110"/>
    <w:multiLevelType w:val="hybridMultilevel"/>
    <w:lvl w:ilvl="0">
      <w:lvlJc w:val="left"/>
      <w:lvlText w:val="(%1)"/>
      <w:numFmt w:val="decimal"/>
      <w:start w:val="1"/>
    </w:lvl>
  </w:abstractNum>
  <w:abstractNum w:abstractNumId="46">
    <w:nsid w:val="4C04A8AF"/>
    <w:multiLevelType w:val="hybridMultilevel"/>
    <w:lvl w:ilvl="0">
      <w:lvlJc w:val="left"/>
      <w:lvlText w:val="(%1)"/>
      <w:numFmt w:val="decimal"/>
      <w:start w:val="1"/>
    </w:lvl>
  </w:abstractNum>
  <w:abstractNum w:abstractNumId="47">
    <w:nsid w:val="1716703B"/>
    <w:multiLevelType w:val="hybridMultilevel"/>
    <w:lvl w:ilvl="0">
      <w:lvlJc w:val="left"/>
      <w:lvlText w:val="(%1)"/>
      <w:numFmt w:val="decimal"/>
      <w:start w:val="1"/>
    </w:lvl>
  </w:abstractNum>
  <w:abstractNum w:abstractNumId="48">
    <w:nsid w:val="14E17E33"/>
    <w:multiLevelType w:val="hybridMultilevel"/>
    <w:lvl w:ilvl="0">
      <w:lvlJc w:val="left"/>
      <w:lvlText w:val="(%1)"/>
      <w:numFmt w:val="decimal"/>
      <w:start w:val="1"/>
    </w:lvl>
  </w:abstractNum>
  <w:abstractNum w:abstractNumId="49">
    <w:nsid w:val="3222E7CD"/>
    <w:multiLevelType w:val="hybridMultilevel"/>
    <w:lvl w:ilvl="0">
      <w:lvlJc w:val="left"/>
      <w:lvlText w:val="(%1)"/>
      <w:numFmt w:val="decimal"/>
      <w:start w:val="5"/>
    </w:lvl>
  </w:abstractNum>
  <w:abstractNum w:abstractNumId="50">
    <w:nsid w:val="74DE0EE3"/>
    <w:multiLevelType w:val="hybridMultilevel"/>
    <w:lvl w:ilvl="0">
      <w:lvlJc w:val="left"/>
      <w:lvlText w:val="(%1)"/>
      <w:numFmt w:val="decimal"/>
      <w:start w:val="1"/>
    </w:lvl>
    <w:lvl w:ilvl="1">
      <w:lvlJc w:val="left"/>
      <w:lvlText w:val="(%2)"/>
      <w:numFmt w:val="lowerLetter"/>
      <w:start w:val="1"/>
    </w:lvl>
  </w:abstractNum>
  <w:abstractNum w:abstractNumId="51">
    <w:nsid w:val="68EBC550"/>
    <w:multiLevelType w:val="hybridMultilevel"/>
    <w:lvl w:ilvl="0">
      <w:lvlJc w:val="left"/>
      <w:lvlText w:val="(%1)"/>
      <w:numFmt w:val="decimal"/>
      <w:start w:val="1"/>
    </w:lvl>
    <w:lvl w:ilvl="1">
      <w:lvlJc w:val="left"/>
      <w:lvlText w:val="(%2)"/>
      <w:numFmt w:val="lowerLetter"/>
      <w:start w:val="1"/>
    </w:lvl>
  </w:abstractNum>
  <w:abstractNum w:abstractNumId="52">
    <w:nsid w:val="2DF6D648"/>
    <w:multiLevelType w:val="hybridMultilevel"/>
    <w:lvl w:ilvl="0">
      <w:lvlJc w:val="left"/>
      <w:lvlText w:val="(%1)"/>
      <w:numFmt w:val="decimal"/>
      <w:start w:val="1"/>
    </w:lvl>
  </w:abstractNum>
  <w:abstractNum w:abstractNumId="53">
    <w:nsid w:val="46B7D447"/>
    <w:multiLevelType w:val="hybridMultilevel"/>
    <w:lvl w:ilvl="0">
      <w:lvlJc w:val="left"/>
      <w:lvlText w:val="%1"/>
      <w:numFmt w:val="decimal"/>
      <w:start w:val="21"/>
    </w:lvl>
  </w:abstractNum>
  <w:abstractNum w:abstractNumId="54">
    <w:nsid w:val="4A2AC315"/>
    <w:multiLevelType w:val="hybridMultilevel"/>
    <w:lvl w:ilvl="0">
      <w:lvlJc w:val="left"/>
      <w:lvlText w:val="%1"/>
      <w:numFmt w:val="decimal"/>
      <w:start w:val="104"/>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1."/>
      <w:numFmt w:val="decimal"/>
      <w:start w:val="1"/>
    </w:lvl>
  </w:abstractNum>
  <w:abstractNum w:abstractNumId="57">
    <w:nsid w:val="CC1016F"/>
    <w:multiLevelType w:val="hybridMultilevel"/>
    <w:lvl w:ilvl="0">
      <w:lvlJc w:val="left"/>
      <w:lvlText w:val="%1."/>
      <w:numFmt w:val="decimal"/>
      <w:start w:val="2"/>
    </w:lvl>
  </w:abstractNum>
  <w:abstractNum w:abstractNumId="58">
    <w:nsid w:val="43F18422"/>
    <w:multiLevelType w:val="hybridMultilevel"/>
    <w:lvl w:ilvl="0">
      <w:lvlJc w:val="left"/>
      <w:lvlText w:val="%1."/>
      <w:numFmt w:val="decimal"/>
      <w:start w:val="3"/>
    </w:lvl>
  </w:abstractNum>
  <w:abstractNum w:abstractNumId="59">
    <w:nsid w:val="60EF0119"/>
    <w:multiLevelType w:val="hybridMultilevel"/>
    <w:lvl w:ilvl="0">
      <w:lvlJc w:val="left"/>
      <w:lvlText w:val="%1."/>
      <w:numFmt w:val="decimal"/>
      <w:start w:val="4"/>
    </w:lvl>
  </w:abstractNum>
  <w:abstractNum w:abstractNumId="60">
    <w:nsid w:val="26F324BA"/>
    <w:multiLevelType w:val="hybridMultilevel"/>
    <w:lvl w:ilvl="0">
      <w:lvlJc w:val="left"/>
      <w:lvlText w:val="%1."/>
      <w:numFmt w:val="decimal"/>
      <w:start w:val="5"/>
    </w:lvl>
  </w:abstractNum>
  <w:abstractNum w:abstractNumId="61">
    <w:nsid w:val="7F01579B"/>
    <w:multiLevelType w:val="hybridMultilevel"/>
    <w:lvl w:ilvl="0">
      <w:lvlJc w:val="left"/>
      <w:lvlText w:val="%1."/>
      <w:numFmt w:val="decimal"/>
      <w:start w:val="6"/>
    </w:lvl>
  </w:abstractNum>
  <w:abstractNum w:abstractNumId="62">
    <w:nsid w:val="49DA307D"/>
    <w:multiLevelType w:val="hybridMultilevel"/>
    <w:lvl w:ilvl="0">
      <w:lvlJc w:val="left"/>
      <w:lvlText w:val="%1."/>
      <w:numFmt w:val="decimal"/>
      <w:start w:val="7"/>
    </w:lvl>
  </w:abstractNum>
  <w:abstractNum w:abstractNumId="63">
    <w:nsid w:val="7055A5F5"/>
    <w:multiLevelType w:val="hybridMultilevel"/>
    <w:lvl w:ilvl="0">
      <w:lvlJc w:val="left"/>
      <w:lvlText w:val="%1."/>
      <w:numFmt w:val="decimal"/>
      <w:start w:val="8"/>
    </w:lvl>
  </w:abstractNum>
  <w:abstractNum w:abstractNumId="64">
    <w:nsid w:val="5FB8370B"/>
    <w:multiLevelType w:val="hybridMultilevel"/>
    <w:lvl w:ilvl="0">
      <w:lvlJc w:val="left"/>
      <w:lvlText w:val="%1."/>
      <w:numFmt w:val="decimal"/>
      <w:start w:val="9"/>
    </w:lvl>
  </w:abstractNum>
  <w:abstractNum w:abstractNumId="65">
    <w:nsid w:val="50801EE1"/>
    <w:multiLevelType w:val="hybridMultilevel"/>
    <w:lvl w:ilvl="0">
      <w:lvlJc w:val="left"/>
      <w:lvlText w:val="%1."/>
      <w:numFmt w:val="decimal"/>
      <w:start w:val="10"/>
    </w:lvl>
  </w:abstractNum>
  <w:abstractNum w:abstractNumId="66">
    <w:nsid w:val="488AC1A"/>
    <w:multiLevelType w:val="hybridMultilevel"/>
    <w:lvl w:ilvl="0">
      <w:lvlJc w:val="left"/>
      <w:lvlText w:val="%1."/>
      <w:numFmt w:val="decimal"/>
      <w:start w:val="11"/>
    </w:lvl>
  </w:abstractNum>
  <w:abstractNum w:abstractNumId="67">
    <w:nsid w:val="5FB8011C"/>
    <w:multiLevelType w:val="hybridMultilevel"/>
    <w:lvl w:ilvl="0">
      <w:lvlJc w:val="left"/>
      <w:lvlText w:val="(%1)"/>
      <w:numFmt w:val="lowerLetter"/>
      <w:start w:val="1"/>
    </w:lvl>
  </w:abstractNum>
  <w:abstractNum w:abstractNumId="68">
    <w:nsid w:val="6AA78F7F"/>
    <w:multiLevelType w:val="hybridMultilevel"/>
    <w:lvl w:ilvl="0">
      <w:lvlJc w:val="left"/>
      <w:lvlText w:val="•"/>
      <w:numFmt w:val="bullet"/>
      <w:start w:val="1"/>
    </w:lvl>
  </w:abstractNum>
  <w:abstractNum w:abstractNumId="69">
    <w:nsid w:val="7672BD23"/>
    <w:multiLevelType w:val="hybridMultilevel"/>
    <w:lvl w:ilvl="0">
      <w:lvlJc w:val="left"/>
      <w:lvlText w:val="(%1)"/>
      <w:numFmt w:val="lowerLetter"/>
      <w:start w:val="3"/>
    </w:lvl>
  </w:abstractNum>
  <w:abstractNum w:abstractNumId="70">
    <w:nsid w:val="6FC75AF8"/>
    <w:multiLevelType w:val="hybridMultilevel"/>
    <w:lvl w:ilvl="0">
      <w:lvlJc w:val="left"/>
      <w:lvlText w:val="(%1)"/>
      <w:numFmt w:val="lowerLetter"/>
      <w:start w:val="1"/>
    </w:lvl>
    <w:lvl w:ilvl="1">
      <w:lvlJc w:val="left"/>
      <w:lvlText w:val="%2)"/>
      <w:numFmt w:val="decimal"/>
      <w:start w:val="1"/>
    </w:lvl>
  </w:abstractNum>
  <w:abstractNum w:abstractNumId="71">
    <w:nsid w:val="6A5F7029"/>
    <w:multiLevelType w:val="hybridMultilevel"/>
    <w:lvl w:ilvl="0">
      <w:lvlJc w:val="left"/>
      <w:lvlText w:val="%1"/>
      <w:numFmt w:val="lowerLetter"/>
      <w:start w:val="1"/>
    </w:lvl>
    <w:lvl w:ilvl="1">
      <w:lvlJc w:val="left"/>
      <w:lvlText w:val="%2)"/>
      <w:numFmt w:val="decimal"/>
      <w:start w:val="2"/>
    </w:lvl>
  </w:abstractNum>
  <w:abstractNum w:abstractNumId="72">
    <w:nsid w:val="7D5E18F8"/>
    <w:multiLevelType w:val="hybridMultilevel"/>
    <w:lvl w:ilvl="0">
      <w:lvlJc w:val="left"/>
      <w:lvlText w:val="(%1)"/>
      <w:numFmt w:val="lowerLetter"/>
      <w:start w:val="2"/>
    </w:lvl>
    <w:lvl w:ilvl="1">
      <w:lvlJc w:val="left"/>
      <w:lvlText w:val="%2"/>
      <w:numFmt w:val="decimal"/>
      <w:start w:val="1"/>
    </w:lvl>
  </w:abstractNum>
  <w:abstractNum w:abstractNumId="73">
    <w:nsid w:val="5F3534A4"/>
    <w:multiLevelType w:val="hybridMultilevel"/>
    <w:lvl w:ilvl="0">
      <w:lvlJc w:val="left"/>
      <w:lvlText w:val="(%1)"/>
      <w:numFmt w:val="lowerRoman"/>
      <w:start w:val="1"/>
    </w:lvl>
  </w:abstractNum>
  <w:abstractNum w:abstractNumId="74">
    <w:nsid w:val="73A1821B"/>
    <w:multiLevelType w:val="hybridMultilevel"/>
    <w:lvl w:ilvl="0">
      <w:lvlJc w:val="left"/>
      <w:lvlText w:val="(%1)"/>
      <w:numFmt w:val="lowerRoman"/>
      <w:start w:val="4"/>
    </w:lvl>
  </w:abstractNum>
  <w:abstractNum w:abstractNumId="75">
    <w:nsid w:val="7DE67713"/>
    <w:multiLevelType w:val="hybridMultilevel"/>
    <w:lvl w:ilvl="0">
      <w:lvlJc w:val="left"/>
      <w:lvlText w:val="(%1)"/>
      <w:numFmt w:val="lowerLetter"/>
      <w:start w:val="1"/>
    </w:lvl>
  </w:abstractNum>
  <w:abstractNum w:abstractNumId="76">
    <w:nsid w:val="555C55B5"/>
    <w:multiLevelType w:val="hybridMultilevel"/>
    <w:lvl w:ilvl="0">
      <w:lvlJc w:val="left"/>
      <w:lvlText w:val="(%1)"/>
      <w:numFmt w:val="lowerLetter"/>
      <w:start w:val="1"/>
    </w:lvl>
  </w:abstractNum>
  <w:abstractNum w:abstractNumId="77">
    <w:nsid w:val="3FA62ACA"/>
    <w:multiLevelType w:val="hybridMultilevel"/>
    <w:lvl w:ilvl="0">
      <w:lvlJc w:val="left"/>
      <w:lvlText w:val="(%1)"/>
      <w:numFmt w:val="lowerLetter"/>
      <w:start w:val="2"/>
    </w:lvl>
  </w:abstractNum>
  <w:abstractNum w:abstractNumId="78">
    <w:nsid w:val="14FCE74E"/>
    <w:multiLevelType w:val="hybridMultilevel"/>
    <w:lvl w:ilvl="0">
      <w:lvlJc w:val="left"/>
      <w:lvlText w:val="(%1)"/>
      <w:numFmt w:val="lowerLetter"/>
      <w:start w:val="1"/>
    </w:lvl>
  </w:abstractNum>
  <w:abstractNum w:abstractNumId="79">
    <w:nsid w:val="6A3DD3E8"/>
    <w:multiLevelType w:val="hybridMultilevel"/>
    <w:lvl w:ilvl="0">
      <w:lvlJc w:val="left"/>
      <w:lvlText w:val="(%1)"/>
      <w:numFmt w:val="lowerLetter"/>
      <w:start w:val="1"/>
    </w:lvl>
  </w:abstractNum>
  <w:abstractNum w:abstractNumId="80">
    <w:nsid w:val="71C91298"/>
    <w:multiLevelType w:val="hybridMultilevel"/>
    <w:lvl w:ilvl="0">
      <w:lvlJc w:val="left"/>
      <w:lvlText w:val="(%1)"/>
      <w:numFmt w:val="lowerLetter"/>
      <w:start w:val="1"/>
    </w:lvl>
  </w:abstractNum>
  <w:abstractNum w:abstractNumId="81">
    <w:nsid w:val="9DAF632"/>
    <w:multiLevelType w:val="hybridMultilevel"/>
    <w:lvl w:ilvl="0">
      <w:lvlJc w:val="left"/>
      <w:lvlText w:val="%1"/>
      <w:numFmt w:val="lowerLetter"/>
      <w:start w:val="1"/>
    </w:lvl>
    <w:lvl w:ilvl="1">
      <w:lvlJc w:val="left"/>
      <w:lvlText w:val="%2."/>
      <w:numFmt w:val="decimal"/>
      <w:start w:val="10"/>
    </w:lvl>
  </w:abstractNum>
  <w:abstractNum w:abstractNumId="82">
    <w:nsid w:val="53299938"/>
    <w:multiLevelType w:val="hybridMultilevel"/>
    <w:lvl w:ilvl="0">
      <w:lvlJc w:val="left"/>
      <w:lvlText w:val="(%1)"/>
      <w:numFmt w:val="lowerLetter"/>
      <w:start w:val="1"/>
    </w:lvl>
    <w:lvl w:ilvl="1">
      <w:lvlJc w:val="left"/>
      <w:lvlText w:val="%2"/>
      <w:numFmt w:val="decimal"/>
      <w:start w:val="1"/>
    </w:lvl>
  </w:abstractNum>
  <w:abstractNum w:abstractNumId="83">
    <w:nsid w:val="1FBFE8E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84">
    <w:nsid w:val="5092CA7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5"/>
    </w:lvl>
  </w:abstractNum>
  <w:abstractNum w:abstractNumId="85">
    <w:nsid w:val="1D545C4D"/>
    <w:multiLevelType w:val="hybridMultilevel"/>
    <w:lvl w:ilvl="0">
      <w:lvlJc w:val="left"/>
      <w:lvlText w:val="(%1)"/>
      <w:numFmt w:val="lowerLetter"/>
      <w:start w:val="4"/>
    </w:lvl>
    <w:lvl w:ilvl="1">
      <w:lvlJc w:val="left"/>
      <w:lvlText w:val="%2."/>
      <w:numFmt w:val="decimal"/>
      <w:start w:val="11"/>
    </w:lvl>
    <w:lvl w:ilvl="2">
      <w:lvlJc w:val="left"/>
      <w:lvlText w:val="%3"/>
      <w:numFmt w:val="lowerRoman"/>
      <w:start w:val="1"/>
    </w:lvl>
  </w:abstractNum>
  <w:abstractNum w:abstractNumId="86">
    <w:nsid w:val="59ADEA3D"/>
    <w:multiLevelType w:val="hybridMultilevel"/>
    <w:lvl w:ilvl="0">
      <w:lvlJc w:val="left"/>
      <w:lvlText w:val="(%1)"/>
      <w:numFmt w:val="lowerLetter"/>
      <w:start w:val="1"/>
    </w:lvl>
  </w:abstractNum>
  <w:abstractNum w:abstractNumId="87">
    <w:nsid w:val="288F1A34"/>
    <w:multiLevelType w:val="hybridMultilevel"/>
    <w:lvl w:ilvl="0">
      <w:lvlJc w:val="left"/>
      <w:lvlText w:val="%1"/>
      <w:numFmt w:val="lowerLetter"/>
      <w:start w:val="1"/>
    </w:lvl>
    <w:lvl w:ilvl="1">
      <w:lvlJc w:val="left"/>
      <w:lvlText w:val="%2."/>
      <w:numFmt w:val="decimal"/>
      <w:start w:val="12"/>
    </w:lvl>
  </w:abstractNum>
  <w:abstractNum w:abstractNumId="88">
    <w:nsid w:val="2A155DBC"/>
    <w:multiLevelType w:val="hybridMultilevel"/>
    <w:lvl w:ilvl="0">
      <w:lvlJc w:val="left"/>
      <w:lvlText w:val="(%1)"/>
      <w:numFmt w:val="lowerLetter"/>
      <w:start w:val="1"/>
    </w:lvl>
    <w:lvl w:ilvl="1">
      <w:lvlJc w:val="left"/>
      <w:lvlText w:val="%2."/>
      <w:numFmt w:val="decimal"/>
      <w:start w:val="13"/>
    </w:lvl>
  </w:abstractNum>
  <w:abstractNum w:abstractNumId="89">
    <w:nsid w:val="1D9F6E5F"/>
    <w:multiLevelType w:val="hybridMultilevel"/>
    <w:lvl w:ilvl="0">
      <w:lvlJc w:val="left"/>
      <w:lvlText w:val="(%1)"/>
      <w:numFmt w:val="lowerLetter"/>
      <w:start w:val="1"/>
    </w:lvl>
    <w:lvl w:ilvl="1">
      <w:lvlJc w:val="left"/>
      <w:lvlText w:val="%2."/>
      <w:numFmt w:val="decimal"/>
      <w:start w:val="14"/>
    </w:lvl>
  </w:abstractNum>
  <w:abstractNum w:abstractNumId="90">
    <w:nsid w:val="97E1B4E"/>
    <w:multiLevelType w:val="hybridMultilevel"/>
    <w:lvl w:ilvl="0">
      <w:lvlJc w:val="left"/>
      <w:lvlText w:val="(%1)"/>
      <w:numFmt w:val="lowerLetter"/>
      <w:start w:val="1"/>
    </w:lvl>
    <w:lvl w:ilvl="1">
      <w:lvlJc w:val="left"/>
      <w:lvlText w:val="%2."/>
      <w:numFmt w:val="decimal"/>
      <w:start w:val="15"/>
    </w:lvl>
  </w:abstractNum>
  <w:abstractNum w:abstractNumId="91">
    <w:nsid w:val="51088277"/>
    <w:multiLevelType w:val="hybridMultilevel"/>
    <w:lvl w:ilvl="0">
      <w:lvlJc w:val="left"/>
      <w:lvlText w:val="(%1)"/>
      <w:numFmt w:val="lowerLetter"/>
      <w:start w:val="1"/>
    </w:lvl>
  </w:abstractNum>
  <w:abstractNum w:abstractNumId="92">
    <w:nsid w:val="1CA0C5FA"/>
    <w:multiLevelType w:val="hybridMultilevel"/>
    <w:lvl w:ilvl="0">
      <w:lvlJc w:val="left"/>
      <w:lvlText w:val="%1"/>
      <w:numFmt w:val="lowerLetter"/>
      <w:start w:val="1"/>
    </w:lvl>
    <w:lvl w:ilvl="1">
      <w:lvlJc w:val="left"/>
      <w:lvlText w:val="%2."/>
      <w:numFmt w:val="decimal"/>
      <w:start w:val="16"/>
    </w:lvl>
  </w:abstractNum>
  <w:abstractNum w:abstractNumId="93">
    <w:nsid w:val="53584BCB"/>
    <w:multiLevelType w:val="hybridMultilevel"/>
    <w:lvl w:ilvl="0">
      <w:lvlJc w:val="left"/>
      <w:lvlText w:val="(%1)"/>
      <w:numFmt w:val="lowerLetter"/>
      <w:start w:val="1"/>
    </w:lvl>
    <w:lvl w:ilvl="1">
      <w:lvlJc w:val="left"/>
      <w:lvlText w:val="%2."/>
      <w:numFmt w:val="decimal"/>
      <w:start w:val="17"/>
    </w:lvl>
  </w:abstractNum>
  <w:abstractNum w:abstractNumId="94">
    <w:nsid w:val="415E286C"/>
    <w:multiLevelType w:val="hybridMultilevel"/>
    <w:lvl w:ilvl="0">
      <w:lvlJc w:val="left"/>
      <w:lvlText w:val="(%1)"/>
      <w:numFmt w:val="lowerLetter"/>
      <w:start w:val="1"/>
    </w:lvl>
    <w:lvl w:ilvl="1">
      <w:lvlJc w:val="left"/>
      <w:lvlText w:val="%2."/>
      <w:numFmt w:val="decimal"/>
      <w:start w:val="18"/>
    </w:lvl>
  </w:abstractNum>
  <w:abstractNum w:abstractNumId="95">
    <w:nsid w:val="7C58FD05"/>
    <w:multiLevelType w:val="hybridMultilevel"/>
    <w:lvl w:ilvl="0">
      <w:lvlJc w:val="left"/>
      <w:lvlText w:val="(%1)"/>
      <w:numFmt w:val="lowerLetter"/>
      <w:start w:val="1"/>
    </w:lvl>
    <w:lvl w:ilvl="1">
      <w:lvlJc w:val="left"/>
      <w:lvlText w:val="%2."/>
      <w:numFmt w:val="decimal"/>
      <w:start w:val="19"/>
    </w:lvl>
  </w:abstractNum>
  <w:abstractNum w:abstractNumId="96">
    <w:nsid w:val="23D86AAC"/>
    <w:multiLevelType w:val="hybridMultilevel"/>
    <w:lvl w:ilvl="0">
      <w:lvlJc w:val="left"/>
      <w:lvlText w:val="(%1)"/>
      <w:numFmt w:val="lowerLetter"/>
      <w:start w:val="1"/>
    </w:lvl>
    <w:lvl w:ilvl="1">
      <w:lvlJc w:val="left"/>
      <w:lvlText w:val="%2."/>
      <w:numFmt w:val="decimal"/>
      <w:start w:val="20"/>
    </w:lvl>
  </w:abstractNum>
  <w:abstractNum w:abstractNumId="97">
    <w:nsid w:val="45E6D486"/>
    <w:multiLevelType w:val="hybridMultilevel"/>
    <w:lvl w:ilvl="0">
      <w:lvlJc w:val="left"/>
      <w:lvlText w:val="(%1)"/>
      <w:numFmt w:val="lowerLetter"/>
      <w:start w:val="1"/>
    </w:lvl>
    <w:lvl w:ilvl="1">
      <w:lvlJc w:val="left"/>
      <w:lvlText w:val="%2."/>
      <w:numFmt w:val="decimal"/>
      <w:start w:val="21"/>
    </w:lvl>
  </w:abstractNum>
  <w:abstractNum w:abstractNumId="98">
    <w:nsid w:val="5C10FE21"/>
    <w:multiLevelType w:val="hybridMultilevel"/>
    <w:lvl w:ilvl="0">
      <w:lvlJc w:val="left"/>
      <w:lvlText w:val="(%1)"/>
      <w:numFmt w:val="lowerLetter"/>
      <w:start w:val="1"/>
    </w:lvl>
    <w:lvl w:ilvl="1">
      <w:lvlJc w:val="left"/>
      <w:lvlText w:val="%2."/>
      <w:numFmt w:val="decimal"/>
      <w:start w:val="22"/>
    </w:lvl>
  </w:abstractNum>
  <w:abstractNum w:abstractNumId="99">
    <w:nsid w:val="E7FFA2B"/>
    <w:multiLevelType w:val="hybridMultilevel"/>
    <w:lvl w:ilvl="0">
      <w:lvlJc w:val="left"/>
      <w:lvlText w:val="(%1)"/>
      <w:numFmt w:val="lowerLetter"/>
      <w:start w:val="1"/>
    </w:lvl>
  </w:abstractNum>
  <w:abstractNum w:abstractNumId="100">
    <w:nsid w:val="3C5991AA"/>
    <w:multiLevelType w:val="hybridMultilevel"/>
    <w:lvl w:ilvl="0">
      <w:lvlJc w:val="left"/>
      <w:lvlText w:val="%1."/>
      <w:numFmt w:val="decimal"/>
      <w:start w:val="1"/>
    </w:lvl>
  </w:abstractNum>
  <w:abstractNum w:abstractNumId="101">
    <w:nsid w:val="4BD8591A"/>
    <w:multiLevelType w:val="hybridMultilevel"/>
    <w:lvl w:ilvl="0">
      <w:lvlJc w:val="left"/>
      <w:lvlText w:val="(%1)"/>
      <w:numFmt w:val="lowerLetter"/>
      <w:start w:val="1"/>
    </w:lvl>
    <w:lvl w:ilvl="1">
      <w:lvlJc w:val="left"/>
      <w:lvlText w:val="(%2)"/>
      <w:numFmt w:val="lowerLetter"/>
      <w:start w:val="9"/>
    </w:lvl>
  </w:abstractNum>
  <w:abstractNum w:abstractNumId="102">
    <w:nsid w:val="78DF6A55"/>
    <w:multiLevelType w:val="hybridMultilevel"/>
    <w:lvl w:ilvl="0">
      <w:lvlJc w:val="left"/>
      <w:lvlText w:val="(%1)"/>
      <w:numFmt w:val="lowerRoman"/>
      <w:start w:val="2"/>
    </w:lvl>
  </w:abstractNum>
  <w:abstractNum w:abstractNumId="103">
    <w:nsid w:val="39B7AAA2"/>
    <w:multiLevelType w:val="hybridMultilevel"/>
    <w:lvl w:ilvl="0">
      <w:lvlJc w:val="left"/>
      <w:lvlText w:val="(%1)"/>
      <w:numFmt w:val="lowerLetter"/>
      <w:start w:val="2"/>
    </w:lvl>
    <w:lvl w:ilvl="1">
      <w:lvlJc w:val="left"/>
      <w:lvlText w:val="(%2)"/>
      <w:numFmt w:val="lowerRoman"/>
      <w:start w:val="1"/>
    </w:lvl>
  </w:abstractNum>
  <w:abstractNum w:abstractNumId="104">
    <w:nsid w:val="2B0D8DBE"/>
    <w:multiLevelType w:val="hybridMultilevel"/>
    <w:lvl w:ilvl="0">
      <w:lvlJc w:val="left"/>
      <w:lvlText w:val="%1"/>
      <w:numFmt w:val="decimal"/>
      <w:start w:val="1"/>
    </w:lvl>
    <w:lvl w:ilvl="1">
      <w:lvlJc w:val="left"/>
      <w:lvlText w:val="%2."/>
      <w:numFmt w:val="decimal"/>
      <w:start w:val="3"/>
    </w:lvl>
  </w:abstractNum>
  <w:abstractNum w:abstractNumId="105">
    <w:nsid w:val="6C80EC70"/>
    <w:multiLevelType w:val="hybridMultilevel"/>
    <w:lvl w:ilvl="0">
      <w:lvlJc w:val="left"/>
      <w:lvlText w:val="%1."/>
      <w:numFmt w:val="decimal"/>
      <w:start w:val="4"/>
    </w:lvl>
    <w:lvl w:ilvl="1">
      <w:lvlJc w:val="left"/>
      <w:lvlText w:val="%2"/>
      <w:numFmt w:val="decimal"/>
      <w:start w:val="1"/>
    </w:lvl>
  </w:abstractNum>
  <w:abstractNum w:abstractNumId="106">
    <w:nsid w:val="379E21B5"/>
    <w:multiLevelType w:val="hybridMultilevel"/>
    <w:lvl w:ilvl="0">
      <w:lvlJc w:val="left"/>
      <w:lvlText w:val="(%1)"/>
      <w:numFmt w:val="lowerLetter"/>
      <w:start w:val="1"/>
    </w:lvl>
  </w:abstractNum>
  <w:abstractNum w:abstractNumId="107">
    <w:nsid w:val="69E373"/>
    <w:multiLevelType w:val="hybridMultilevel"/>
    <w:lvl w:ilvl="0">
      <w:lvlJc w:val="left"/>
      <w:lvlText w:val="(%1)"/>
      <w:numFmt w:val="lowerLetter"/>
      <w:start w:val="8"/>
    </w:lvl>
  </w:abstractNum>
  <w:abstractNum w:abstractNumId="108">
    <w:nsid w:val="2C27173B"/>
    <w:multiLevelType w:val="hybridMultilevel"/>
    <w:lvl w:ilvl="0">
      <w:lvlJc w:val="left"/>
      <w:lvlText w:val="(%1)"/>
      <w:numFmt w:val="lowerRoman"/>
      <w:start w:val="2"/>
    </w:lvl>
  </w:abstractNum>
  <w:abstractNum w:abstractNumId="109">
    <w:nsid w:val="4C9B0904"/>
    <w:multiLevelType w:val="hybridMultilevel"/>
    <w:lvl w:ilvl="0">
      <w:lvlJc w:val="left"/>
      <w:lvlText w:val="%1."/>
      <w:numFmt w:val="decimal"/>
      <w:start w:val="5"/>
    </w:lvl>
  </w:abstractNum>
  <w:abstractNum w:abstractNumId="110">
    <w:nsid w:val="6AA7B75C"/>
    <w:multiLevelType w:val="hybridMultilevel"/>
    <w:lvl w:ilvl="0">
      <w:lvlJc w:val="left"/>
      <w:lvlText w:val="(%1)"/>
      <w:numFmt w:val="lowerLetter"/>
      <w:start w:val="1"/>
    </w:lvl>
  </w:abstractNum>
  <w:abstractNum w:abstractNumId="111">
    <w:nsid w:val="1DF029D3"/>
    <w:multiLevelType w:val="hybridMultilevel"/>
    <w:lvl w:ilvl="0">
      <w:lvlJc w:val="left"/>
      <w:lvlText w:val="(%1)"/>
      <w:numFmt w:val="lowerLetter"/>
      <w:start w:val="2"/>
    </w:lvl>
  </w:abstractNum>
  <w:abstractNum w:abstractNumId="112">
    <w:nsid w:val="5675FF36"/>
    <w:multiLevelType w:val="hybridMultilevel"/>
    <w:lvl w:ilvl="0">
      <w:lvlJc w:val="left"/>
      <w:lvlText w:val="%1."/>
      <w:numFmt w:val="decimal"/>
      <w:start w:val="6"/>
    </w:lvl>
  </w:abstractNum>
  <w:abstractNum w:abstractNumId="113">
    <w:nsid w:val="3DD150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4">
    <w:nsid w:val="3DB012B3"/>
    <w:multiLevelType w:val="hybridMultilevel"/>
    <w:lvl w:ilvl="0">
      <w:lvlJc w:val="left"/>
      <w:lvlText w:val="(%1)"/>
      <w:numFmt w:val="lowerLetter"/>
      <w:start w:val="5"/>
    </w:lvl>
    <w:lvl w:ilvl="1">
      <w:lvlJc w:val="left"/>
      <w:lvlText w:val="%2."/>
      <w:numFmt w:val="decimal"/>
      <w:start w:val="6"/>
    </w:lvl>
    <w:lvl w:ilvl="2">
      <w:lvlJc w:val="left"/>
      <w:lvlText w:val="(%3)"/>
      <w:numFmt w:val="lowerLetter"/>
      <w:start w:val="6"/>
    </w:lvl>
  </w:abstractNum>
  <w:abstractNum w:abstractNumId="115">
    <w:nsid w:val="2708C9AF"/>
    <w:multiLevelType w:val="hybridMultilevel"/>
    <w:lvl w:ilvl="0">
      <w:lvlJc w:val="left"/>
      <w:lvlText w:val="%1."/>
      <w:numFmt w:val="decimal"/>
      <w:start w:val="8"/>
    </w:lvl>
  </w:abstractNum>
  <w:abstractNum w:abstractNumId="116">
    <w:nsid w:val="5B25ACE2"/>
    <w:multiLevelType w:val="hybridMultilevel"/>
    <w:lvl w:ilvl="0">
      <w:lvlJc w:val="left"/>
      <w:lvlText w:val="(%1)"/>
      <w:numFmt w:val="lowerLetter"/>
      <w:start w:val="1"/>
    </w:lvl>
  </w:abstractNum>
  <w:abstractNum w:abstractNumId="117">
    <w:nsid w:val="175DFCF0"/>
    <w:multiLevelType w:val="hybridMultilevel"/>
    <w:lvl w:ilvl="0">
      <w:lvlJc w:val="left"/>
      <w:lvlText w:val="(%1)"/>
      <w:numFmt w:val="lowerLetter"/>
      <w:start w:val="2"/>
    </w:lvl>
  </w:abstractNum>
  <w:abstractNum w:abstractNumId="118">
    <w:nsid w:val="4F97E3E4"/>
    <w:multiLevelType w:val="hybridMultilevel"/>
    <w:lvl w:ilvl="0">
      <w:lvlJc w:val="left"/>
      <w:lvlText w:val="(%1)"/>
      <w:numFmt w:val="lowerLetter"/>
      <w:start w:val="3"/>
    </w:lvl>
  </w:abstractNum>
  <w:abstractNum w:abstractNumId="119">
    <w:nsid w:val="53B0A9E"/>
    <w:multiLevelType w:val="hybridMultilevel"/>
    <w:lvl w:ilvl="0">
      <w:lvlJc w:val="left"/>
      <w:lvlText w:val="%1"/>
      <w:numFmt w:val="decimal"/>
      <w:start w:val="1"/>
    </w:lvl>
    <w:lvl w:ilvl="1">
      <w:lvlJc w:val="left"/>
      <w:lvlText w:val="%2."/>
      <w:numFmt w:val="decimal"/>
      <w:start w:val="13"/>
    </w:lvl>
  </w:abstractNum>
  <w:abstractNum w:abstractNumId="120">
    <w:nsid w:val="34FD6B4F"/>
    <w:multiLevelType w:val="hybridMultilevel"/>
    <w:lvl w:ilvl="0">
      <w:lvlJc w:val="left"/>
      <w:lvlText w:val="(%1)"/>
      <w:numFmt w:val="decimal"/>
      <w:start w:val="6"/>
    </w:lvl>
    <w:lvl w:ilvl="1">
      <w:lvlJc w:val="left"/>
      <w:lvlText w:val="%2"/>
      <w:numFmt w:val="decimal"/>
      <w:start w:val="1"/>
    </w:lvl>
  </w:abstractNum>
  <w:abstractNum w:abstractNumId="121">
    <w:nsid w:val="5915FF32"/>
    <w:multiLevelType w:val="hybridMultilevel"/>
    <w:lvl w:ilvl="0">
      <w:lvlJc w:val="left"/>
      <w:lvlText w:val="%1."/>
      <w:numFmt w:val="decimal"/>
      <w:start w:val="14"/>
    </w:lvl>
  </w:abstractNum>
  <w:abstractNum w:abstractNumId="122">
    <w:nsid w:val="56438D15"/>
    <w:multiLevelType w:val="hybridMultilevel"/>
    <w:lvl w:ilvl="0">
      <w:lvlJc w:val="left"/>
      <w:lvlText w:val="%1."/>
      <w:numFmt w:val="decimal"/>
      <w:start w:val="1"/>
    </w:lvl>
    <w:lvl w:ilvl="1">
      <w:lvlJc w:val="left"/>
      <w:lvlText w:val="%2)"/>
      <w:numFmt w:val="lowerLetter"/>
      <w:start w:val="1"/>
    </w:lvl>
  </w:abstractNum>
  <w:abstractNum w:abstractNumId="123">
    <w:nsid w:val="519E3149"/>
    <w:multiLevelType w:val="hybridMultilevel"/>
    <w:lvl w:ilvl="0">
      <w:lvlJc w:val="left"/>
      <w:lvlText w:val="%1."/>
      <w:numFmt w:val="decimal"/>
      <w:start w:val="1"/>
    </w:lvl>
    <w:lvl w:ilvl="1">
      <w:lvlJc w:val="left"/>
      <w:lvlText w:val="%2)"/>
      <w:numFmt w:val="lowerLetter"/>
      <w:start w:val="1"/>
    </w:lvl>
  </w:abstractNum>
  <w:abstractNum w:abstractNumId="124">
    <w:nsid w:val="2C6E4AFD"/>
    <w:multiLevelType w:val="hybridMultilevel"/>
    <w:lvl w:ilvl="0">
      <w:lvlJc w:val="left"/>
      <w:lvlText w:val="(%1)"/>
      <w:numFmt w:val="decimal"/>
      <w:start w:val="1"/>
    </w:lvl>
  </w:abstractNum>
  <w:abstractNum w:abstractNumId="125">
    <w:nsid w:val="17A1B582"/>
    <w:multiLevelType w:val="hybridMultilevel"/>
    <w:lvl w:ilvl="0">
      <w:lvlJc w:val="left"/>
      <w:lvlText w:val="(%1)"/>
      <w:numFmt w:val="decimal"/>
      <w:start w:val="1"/>
    </w:lvl>
  </w:abstractNum>
  <w:abstractNum w:abstractNumId="126">
    <w:nsid w:val="4DF72E4E"/>
    <w:multiLevelType w:val="hybridMultilevel"/>
    <w:lvl w:ilvl="0">
      <w:lvlJc w:val="left"/>
      <w:lvlText w:val="•"/>
      <w:numFmt w:val="bullet"/>
      <w:start w:val="1"/>
    </w:lvl>
  </w:abstractNum>
  <w:abstractNum w:abstractNumId="127">
    <w:nsid w:val="5046B5A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60" Type="http://schemas.openxmlformats.org/officeDocument/2006/relationships/image" Target="media/image151.png"/><Relationship Id="rId162" Type="http://schemas.openxmlformats.org/officeDocument/2006/relationships/image" Target="media/image152.png"/><Relationship Id="rId164" Type="http://schemas.openxmlformats.org/officeDocument/2006/relationships/image" Target="media/image153.png"/><Relationship Id="rId166" Type="http://schemas.openxmlformats.org/officeDocument/2006/relationships/image" Target="media/image154.png"/><Relationship Id="rId168" Type="http://schemas.openxmlformats.org/officeDocument/2006/relationships/image" Target="media/image155.png"/><Relationship Id="rId170" Type="http://schemas.openxmlformats.org/officeDocument/2006/relationships/image" Target="media/image156.png"/><Relationship Id="rId172" Type="http://schemas.openxmlformats.org/officeDocument/2006/relationships/image" Target="media/image157.png"/><Relationship Id="rId174" Type="http://schemas.openxmlformats.org/officeDocument/2006/relationships/image" Target="media/image158.png"/><Relationship Id="rId176" Type="http://schemas.openxmlformats.org/officeDocument/2006/relationships/image" Target="media/image159.png"/><Relationship Id="rId178"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3" Type="http://schemas.openxmlformats.org/officeDocument/2006/relationships/image" Target="media/image163.png"/><Relationship Id="rId185" Type="http://schemas.openxmlformats.org/officeDocument/2006/relationships/image" Target="media/image164.png"/><Relationship Id="rId187" Type="http://schemas.openxmlformats.org/officeDocument/2006/relationships/image" Target="media/image165.png"/><Relationship Id="rId189" Type="http://schemas.openxmlformats.org/officeDocument/2006/relationships/image" Target="media/image166.png"/><Relationship Id="rId191" Type="http://schemas.openxmlformats.org/officeDocument/2006/relationships/image" Target="media/image167.png"/><Relationship Id="rId193"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8" Type="http://schemas.openxmlformats.org/officeDocument/2006/relationships/image" Target="media/image171.png"/><Relationship Id="rId200" Type="http://schemas.openxmlformats.org/officeDocument/2006/relationships/image" Target="media/image172.png"/><Relationship Id="rId202" Type="http://schemas.openxmlformats.org/officeDocument/2006/relationships/image" Target="media/image173.png"/><Relationship Id="rId204" Type="http://schemas.openxmlformats.org/officeDocument/2006/relationships/image" Target="media/image174.png"/><Relationship Id="rId206" Type="http://schemas.openxmlformats.org/officeDocument/2006/relationships/image" Target="media/image175.png"/><Relationship Id="rId208" Type="http://schemas.openxmlformats.org/officeDocument/2006/relationships/image" Target="media/image176.png"/><Relationship Id="rId210" Type="http://schemas.openxmlformats.org/officeDocument/2006/relationships/image" Target="media/image177.png"/><Relationship Id="rId212"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7" Type="http://schemas.openxmlformats.org/officeDocument/2006/relationships/image" Target="media/image181.png"/><Relationship Id="rId219" Type="http://schemas.openxmlformats.org/officeDocument/2006/relationships/image" Target="media/image182.png"/><Relationship Id="rId221" Type="http://schemas.openxmlformats.org/officeDocument/2006/relationships/image" Target="media/image183.png"/><Relationship Id="rId223" Type="http://schemas.openxmlformats.org/officeDocument/2006/relationships/image" Target="media/image184.png"/><Relationship Id="rId225" Type="http://schemas.openxmlformats.org/officeDocument/2006/relationships/image" Target="media/image185.png"/><Relationship Id="rId227" Type="http://schemas.openxmlformats.org/officeDocument/2006/relationships/image" Target="media/image186.png"/><Relationship Id="rId229"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png"/><Relationship Id="rId234" Type="http://schemas.openxmlformats.org/officeDocument/2006/relationships/image" Target="media/image190.png"/><Relationship Id="rId236" Type="http://schemas.openxmlformats.org/officeDocument/2006/relationships/image" Target="media/image191.png"/><Relationship Id="rId238" Type="http://schemas.openxmlformats.org/officeDocument/2006/relationships/image" Target="media/image192.png"/><Relationship Id="rId240" Type="http://schemas.openxmlformats.org/officeDocument/2006/relationships/image" Target="media/image193.png"/><Relationship Id="rId242" Type="http://schemas.openxmlformats.org/officeDocument/2006/relationships/image" Target="media/image194.png"/><Relationship Id="rId244" Type="http://schemas.openxmlformats.org/officeDocument/2006/relationships/image" Target="media/image195.png"/><Relationship Id="rId246" Type="http://schemas.openxmlformats.org/officeDocument/2006/relationships/image" Target="media/image196.png"/><Relationship Id="rId248" Type="http://schemas.openxmlformats.org/officeDocument/2006/relationships/image" Target="media/image197.png"/><Relationship Id="rId249" Type="http://schemas.openxmlformats.org/officeDocument/2006/relationships/image" Target="media/image198.png"/><Relationship Id="rId251" Type="http://schemas.openxmlformats.org/officeDocument/2006/relationships/image" Target="media/image199.png"/><Relationship Id="rId253" Type="http://schemas.openxmlformats.org/officeDocument/2006/relationships/image" Target="media/image200.png"/><Relationship Id="rId255" Type="http://schemas.openxmlformats.org/officeDocument/2006/relationships/image" Target="media/image201.png"/><Relationship Id="rId257" Type="http://schemas.openxmlformats.org/officeDocument/2006/relationships/image" Target="media/image202.png"/><Relationship Id="rId259" Type="http://schemas.openxmlformats.org/officeDocument/2006/relationships/image" Target="media/image203.png"/><Relationship Id="rId261" Type="http://schemas.openxmlformats.org/officeDocument/2006/relationships/image" Target="media/image204.png"/><Relationship Id="rId263" Type="http://schemas.openxmlformats.org/officeDocument/2006/relationships/image" Target="media/image205.png"/><Relationship Id="rId265" Type="http://schemas.openxmlformats.org/officeDocument/2006/relationships/image" Target="media/image206.png"/><Relationship Id="rId266" Type="http://schemas.openxmlformats.org/officeDocument/2006/relationships/image" Target="media/image207.png"/><Relationship Id="rId268" Type="http://schemas.openxmlformats.org/officeDocument/2006/relationships/image" Target="media/image208.png"/><Relationship Id="rId270" Type="http://schemas.openxmlformats.org/officeDocument/2006/relationships/image" Target="media/image209.png"/><Relationship Id="rId272" Type="http://schemas.openxmlformats.org/officeDocument/2006/relationships/image" Target="media/image210.png"/><Relationship Id="rId274" Type="http://schemas.openxmlformats.org/officeDocument/2006/relationships/image" Target="media/image211.png"/><Relationship Id="rId276" Type="http://schemas.openxmlformats.org/officeDocument/2006/relationships/image" Target="media/image212.png"/><Relationship Id="rId278" Type="http://schemas.openxmlformats.org/officeDocument/2006/relationships/image" Target="media/image213.png"/><Relationship Id="rId280" Type="http://schemas.openxmlformats.org/officeDocument/2006/relationships/image" Target="media/image214.png"/><Relationship Id="rId282" Type="http://schemas.openxmlformats.org/officeDocument/2006/relationships/image" Target="media/image215.png"/><Relationship Id="rId284" Type="http://schemas.openxmlformats.org/officeDocument/2006/relationships/image" Target="media/image216.png"/><Relationship Id="rId285" Type="http://schemas.openxmlformats.org/officeDocument/2006/relationships/image" Target="media/image217.png"/><Relationship Id="rId287" Type="http://schemas.openxmlformats.org/officeDocument/2006/relationships/image" Target="media/image218.png"/><Relationship Id="rId289" Type="http://schemas.openxmlformats.org/officeDocument/2006/relationships/image" Target="media/image219.png"/><Relationship Id="rId291" Type="http://schemas.openxmlformats.org/officeDocument/2006/relationships/image" Target="media/image220.png"/><Relationship Id="rId293" Type="http://schemas.openxmlformats.org/officeDocument/2006/relationships/image" Target="media/image221.png"/><Relationship Id="rId295" Type="http://schemas.openxmlformats.org/officeDocument/2006/relationships/image" Target="media/image222.png"/><Relationship Id="rId297" Type="http://schemas.openxmlformats.org/officeDocument/2006/relationships/image" Target="media/image223.png"/><Relationship Id="rId299" Type="http://schemas.openxmlformats.org/officeDocument/2006/relationships/image" Target="media/image224.png"/><Relationship Id="rId301" Type="http://schemas.openxmlformats.org/officeDocument/2006/relationships/image" Target="media/image225.png"/><Relationship Id="rId302" Type="http://schemas.openxmlformats.org/officeDocument/2006/relationships/image" Target="media/image226.png"/><Relationship Id="rId304" Type="http://schemas.openxmlformats.org/officeDocument/2006/relationships/image" Target="media/image227.png"/><Relationship Id="rId306" Type="http://schemas.openxmlformats.org/officeDocument/2006/relationships/image" Target="media/image228.png"/><Relationship Id="rId308" Type="http://schemas.openxmlformats.org/officeDocument/2006/relationships/image" Target="media/image229.png"/><Relationship Id="rId310" Type="http://schemas.openxmlformats.org/officeDocument/2006/relationships/image" Target="media/image230.png"/><Relationship Id="rId312" Type="http://schemas.openxmlformats.org/officeDocument/2006/relationships/image" Target="media/image231.png"/><Relationship Id="rId313" Type="http://schemas.openxmlformats.org/officeDocument/2006/relationships/image" Target="media/image232.png"/><Relationship Id="rId314" Type="http://schemas.openxmlformats.org/officeDocument/2006/relationships/image" Target="media/image233.png"/><Relationship Id="rId315" Type="http://schemas.openxmlformats.org/officeDocument/2006/relationships/image" Target="media/image234.png"/><Relationship Id="rId316" Type="http://schemas.openxmlformats.org/officeDocument/2006/relationships/image" Target="media/image235.png"/><Relationship Id="rId317" Type="http://schemas.openxmlformats.org/officeDocument/2006/relationships/image" Target="media/image236.png"/><Relationship Id="rId318" Type="http://schemas.openxmlformats.org/officeDocument/2006/relationships/image" Target="media/image237.png"/><Relationship Id="rId319" Type="http://schemas.openxmlformats.org/officeDocument/2006/relationships/image" Target="media/image238.png"/><Relationship Id="rId320" Type="http://schemas.openxmlformats.org/officeDocument/2006/relationships/image" Target="media/image239.png"/><Relationship Id="rId322" Type="http://schemas.openxmlformats.org/officeDocument/2006/relationships/image" Target="media/image240.png"/><Relationship Id="rId324" Type="http://schemas.openxmlformats.org/officeDocument/2006/relationships/image" Target="media/image241.png"/><Relationship Id="rId326" Type="http://schemas.openxmlformats.org/officeDocument/2006/relationships/image" Target="media/image242.png"/><Relationship Id="rId328" Type="http://schemas.openxmlformats.org/officeDocument/2006/relationships/image" Target="media/image243.png"/><Relationship Id="rId330" Type="http://schemas.openxmlformats.org/officeDocument/2006/relationships/image" Target="media/image244.png"/><Relationship Id="rId332" Type="http://schemas.openxmlformats.org/officeDocument/2006/relationships/image" Target="media/image245.png"/><Relationship Id="rId333" Type="http://schemas.openxmlformats.org/officeDocument/2006/relationships/image" Target="media/image246.png"/><Relationship Id="rId335" Type="http://schemas.openxmlformats.org/officeDocument/2006/relationships/image" Target="media/image247.png"/><Relationship Id="rId337" Type="http://schemas.openxmlformats.org/officeDocument/2006/relationships/image" Target="media/image248.png"/><Relationship Id="rId339" Type="http://schemas.openxmlformats.org/officeDocument/2006/relationships/image" Target="media/image249.png"/><Relationship Id="rId341" Type="http://schemas.openxmlformats.org/officeDocument/2006/relationships/image" Target="media/image250.png"/><Relationship Id="rId343" Type="http://schemas.openxmlformats.org/officeDocument/2006/relationships/image" Target="media/image251.png"/><Relationship Id="rId345" Type="http://schemas.openxmlformats.org/officeDocument/2006/relationships/image" Target="media/image252.png"/><Relationship Id="rId347" Type="http://schemas.openxmlformats.org/officeDocument/2006/relationships/image" Target="media/image253.png"/><Relationship Id="rId348" Type="http://schemas.openxmlformats.org/officeDocument/2006/relationships/image" Target="media/image254.png"/><Relationship Id="rId350" Type="http://schemas.openxmlformats.org/officeDocument/2006/relationships/image" Target="media/image255.png"/><Relationship Id="rId352" Type="http://schemas.openxmlformats.org/officeDocument/2006/relationships/image" Target="media/image256.png"/><Relationship Id="rId354" Type="http://schemas.openxmlformats.org/officeDocument/2006/relationships/image" Target="media/image257.png"/><Relationship Id="rId356" Type="http://schemas.openxmlformats.org/officeDocument/2006/relationships/image" Target="media/image258.png"/><Relationship Id="rId358" Type="http://schemas.openxmlformats.org/officeDocument/2006/relationships/image" Target="media/image259.png"/><Relationship Id="rId360" Type="http://schemas.openxmlformats.org/officeDocument/2006/relationships/image" Target="media/image260.png"/><Relationship Id="rId362" Type="http://schemas.openxmlformats.org/officeDocument/2006/relationships/image" Target="media/image261.png"/><Relationship Id="rId363" Type="http://schemas.openxmlformats.org/officeDocument/2006/relationships/image" Target="media/image262.png"/><Relationship Id="rId365" Type="http://schemas.openxmlformats.org/officeDocument/2006/relationships/image" Target="media/image263.png"/><Relationship Id="rId367" Type="http://schemas.openxmlformats.org/officeDocument/2006/relationships/image" Target="media/image264.png"/><Relationship Id="rId369" Type="http://schemas.openxmlformats.org/officeDocument/2006/relationships/image" Target="media/image265.png"/><Relationship Id="rId371" Type="http://schemas.openxmlformats.org/officeDocument/2006/relationships/image" Target="media/image266.png"/><Relationship Id="rId373" Type="http://schemas.openxmlformats.org/officeDocument/2006/relationships/image" Target="media/image267.png"/><Relationship Id="rId374" Type="http://schemas.openxmlformats.org/officeDocument/2006/relationships/image" Target="media/image268.png"/><Relationship Id="rId376" Type="http://schemas.openxmlformats.org/officeDocument/2006/relationships/image" Target="media/image269.png"/><Relationship Id="rId378" Type="http://schemas.openxmlformats.org/officeDocument/2006/relationships/image" Target="media/image270.png"/><Relationship Id="rId380" Type="http://schemas.openxmlformats.org/officeDocument/2006/relationships/image" Target="media/image271.png"/><Relationship Id="rId382" Type="http://schemas.openxmlformats.org/officeDocument/2006/relationships/image" Target="media/image272.png"/><Relationship Id="rId384" Type="http://schemas.openxmlformats.org/officeDocument/2006/relationships/image" Target="media/image273.png"/><Relationship Id="rId386" Type="http://schemas.openxmlformats.org/officeDocument/2006/relationships/image" Target="media/image274.png"/><Relationship Id="rId388" Type="http://schemas.openxmlformats.org/officeDocument/2006/relationships/image" Target="media/image275.png"/><Relationship Id="rId390" Type="http://schemas.openxmlformats.org/officeDocument/2006/relationships/image" Target="media/image276.png"/><Relationship Id="rId392" Type="http://schemas.openxmlformats.org/officeDocument/2006/relationships/image" Target="media/image277.png"/><Relationship Id="rId394" Type="http://schemas.openxmlformats.org/officeDocument/2006/relationships/image" Target="media/image278.png"/><Relationship Id="rId396" Type="http://schemas.openxmlformats.org/officeDocument/2006/relationships/image" Target="media/image279.png"/><Relationship Id="rId398" Type="http://schemas.openxmlformats.org/officeDocument/2006/relationships/image" Target="media/image280.png"/><Relationship Id="rId399" Type="http://schemas.openxmlformats.org/officeDocument/2006/relationships/image" Target="media/image281.png"/><Relationship Id="rId401" Type="http://schemas.openxmlformats.org/officeDocument/2006/relationships/image" Target="media/image282.png"/><Relationship Id="rId403" Type="http://schemas.openxmlformats.org/officeDocument/2006/relationships/image" Target="media/image283.png"/><Relationship Id="rId404" Type="http://schemas.openxmlformats.org/officeDocument/2006/relationships/image" Target="media/image284.png"/><Relationship Id="rId406" Type="http://schemas.openxmlformats.org/officeDocument/2006/relationships/image" Target="media/image285.png"/><Relationship Id="rId408" Type="http://schemas.openxmlformats.org/officeDocument/2006/relationships/image" Target="media/image286.png"/><Relationship Id="rId410" Type="http://schemas.openxmlformats.org/officeDocument/2006/relationships/image" Target="media/image287.png"/><Relationship Id="rId412" Type="http://schemas.openxmlformats.org/officeDocument/2006/relationships/image" Target="media/image288.png"/><Relationship Id="rId414" Type="http://schemas.openxmlformats.org/officeDocument/2006/relationships/image" Target="media/image289.png"/><Relationship Id="rId416" Type="http://schemas.openxmlformats.org/officeDocument/2006/relationships/image" Target="media/image290.png"/><Relationship Id="rId418" Type="http://schemas.openxmlformats.org/officeDocument/2006/relationships/image" Target="media/image291.png"/><Relationship Id="rId420" Type="http://schemas.openxmlformats.org/officeDocument/2006/relationships/image" Target="media/image292.png"/><Relationship Id="rId422" Type="http://schemas.openxmlformats.org/officeDocument/2006/relationships/image" Target="media/image293.png"/><Relationship Id="rId423" Type="http://schemas.openxmlformats.org/officeDocument/2006/relationships/image" Target="media/image294.png"/><Relationship Id="rId425" Type="http://schemas.openxmlformats.org/officeDocument/2006/relationships/image" Target="media/image295.png"/><Relationship Id="rId427" Type="http://schemas.openxmlformats.org/officeDocument/2006/relationships/image" Target="media/image296.png"/><Relationship Id="rId429" Type="http://schemas.openxmlformats.org/officeDocument/2006/relationships/image" Target="media/image297.png"/><Relationship Id="rId431" Type="http://schemas.openxmlformats.org/officeDocument/2006/relationships/image" Target="media/image298.png"/><Relationship Id="rId433" Type="http://schemas.openxmlformats.org/officeDocument/2006/relationships/image" Target="media/image299.png"/><Relationship Id="rId435" Type="http://schemas.openxmlformats.org/officeDocument/2006/relationships/image" Target="media/image300.png"/><Relationship Id="rId437" Type="http://schemas.openxmlformats.org/officeDocument/2006/relationships/image" Target="media/image301.png"/><Relationship Id="rId438" Type="http://schemas.openxmlformats.org/officeDocument/2006/relationships/image" Target="media/image302.png"/><Relationship Id="rId440" Type="http://schemas.openxmlformats.org/officeDocument/2006/relationships/image" Target="media/image303.png"/><Relationship Id="rId442" Type="http://schemas.openxmlformats.org/officeDocument/2006/relationships/image" Target="media/image304.png"/><Relationship Id="rId444" Type="http://schemas.openxmlformats.org/officeDocument/2006/relationships/image" Target="media/image305.png"/><Relationship Id="rId445" Type="http://schemas.openxmlformats.org/officeDocument/2006/relationships/image" Target="media/image306.png"/><Relationship Id="rId446" Type="http://schemas.openxmlformats.org/officeDocument/2006/relationships/image" Target="media/image307.png"/><Relationship Id="rId451" Type="http://schemas.openxmlformats.org/officeDocument/2006/relationships/image" Target="media/image308.png"/><Relationship Id="rId452" Type="http://schemas.openxmlformats.org/officeDocument/2006/relationships/image" Target="media/image309.png"/><Relationship Id="rId453" Type="http://schemas.openxmlformats.org/officeDocument/2006/relationships/image" Target="media/image310.png"/><Relationship Id="rId454" Type="http://schemas.openxmlformats.org/officeDocument/2006/relationships/image" Target="media/image311.png"/><Relationship Id="rId455" Type="http://schemas.openxmlformats.org/officeDocument/2006/relationships/image" Target="media/image312.png"/><Relationship Id="rId456" Type="http://schemas.openxmlformats.org/officeDocument/2006/relationships/image" Target="media/image313.png"/><Relationship Id="rId457" Type="http://schemas.openxmlformats.org/officeDocument/2006/relationships/image" Target="media/image314.png"/><Relationship Id="rId458" Type="http://schemas.openxmlformats.org/officeDocument/2006/relationships/image" Target="media/image315.png"/><Relationship Id="rId459" Type="http://schemas.openxmlformats.org/officeDocument/2006/relationships/image" Target="media/image316.png"/><Relationship Id="rId460" Type="http://schemas.openxmlformats.org/officeDocument/2006/relationships/image" Target="media/image317.png"/><Relationship Id="rId461" Type="http://schemas.openxmlformats.org/officeDocument/2006/relationships/image" Target="media/image318.png"/><Relationship Id="rId462" Type="http://schemas.openxmlformats.org/officeDocument/2006/relationships/image" Target="media/image319.png"/><Relationship Id="rId463" Type="http://schemas.openxmlformats.org/officeDocument/2006/relationships/image" Target="media/image320.png"/><Relationship Id="rId464" Type="http://schemas.openxmlformats.org/officeDocument/2006/relationships/image" Target="media/image321.png"/><Relationship Id="rId465" Type="http://schemas.openxmlformats.org/officeDocument/2006/relationships/image" Target="media/image322.png"/><Relationship Id="rId466" Type="http://schemas.openxmlformats.org/officeDocument/2006/relationships/image" Target="media/image323.png"/><Relationship Id="rId467" Type="http://schemas.openxmlformats.org/officeDocument/2006/relationships/image" Target="media/image324.png"/><Relationship Id="rId468" Type="http://schemas.openxmlformats.org/officeDocument/2006/relationships/image" Target="media/image325.png"/><Relationship Id="rId469" Type="http://schemas.openxmlformats.org/officeDocument/2006/relationships/image" Target="media/image326.png"/><Relationship Id="rId470" Type="http://schemas.openxmlformats.org/officeDocument/2006/relationships/image" Target="media/image327.png"/><Relationship Id="rId471" Type="http://schemas.openxmlformats.org/officeDocument/2006/relationships/image" Target="media/image328.png"/><Relationship Id="rId472" Type="http://schemas.openxmlformats.org/officeDocument/2006/relationships/image" Target="media/image329.png"/><Relationship Id="rId473" Type="http://schemas.openxmlformats.org/officeDocument/2006/relationships/image" Target="media/image330.png"/><Relationship Id="rId474" Type="http://schemas.openxmlformats.org/officeDocument/2006/relationships/image" Target="media/image331.png"/><Relationship Id="rId475" Type="http://schemas.openxmlformats.org/officeDocument/2006/relationships/image" Target="media/image332.png"/><Relationship Id="rId476" Type="http://schemas.openxmlformats.org/officeDocument/2006/relationships/image" Target="media/image333.png"/><Relationship Id="rId477" Type="http://schemas.openxmlformats.org/officeDocument/2006/relationships/image" Target="media/image334.png"/><Relationship Id="rId478" Type="http://schemas.openxmlformats.org/officeDocument/2006/relationships/image" Target="media/image335.png"/><Relationship Id="rId479" Type="http://schemas.openxmlformats.org/officeDocument/2006/relationships/image" Target="media/image336.png"/><Relationship Id="rId480" Type="http://schemas.openxmlformats.org/officeDocument/2006/relationships/image" Target="media/image337.png"/><Relationship Id="rId481" Type="http://schemas.openxmlformats.org/officeDocument/2006/relationships/image" Target="media/image338.png"/><Relationship Id="rId482" Type="http://schemas.openxmlformats.org/officeDocument/2006/relationships/image" Target="media/image339.png"/><Relationship Id="rId483" Type="http://schemas.openxmlformats.org/officeDocument/2006/relationships/image" Target="media/image340.png"/><Relationship Id="rId484" Type="http://schemas.openxmlformats.org/officeDocument/2006/relationships/image" Target="media/image341.png"/><Relationship Id="rId485" Type="http://schemas.openxmlformats.org/officeDocument/2006/relationships/image" Target="media/image342.png"/><Relationship Id="rId486" Type="http://schemas.openxmlformats.org/officeDocument/2006/relationships/image" Target="media/image343.png"/><Relationship Id="rId487" Type="http://schemas.openxmlformats.org/officeDocument/2006/relationships/image" Target="media/image344.png"/><Relationship Id="rId488" Type="http://schemas.openxmlformats.org/officeDocument/2006/relationships/image" Target="media/image345.png"/><Relationship Id="rId489" Type="http://schemas.openxmlformats.org/officeDocument/2006/relationships/image" Target="media/image346.png"/><Relationship Id="rId490" Type="http://schemas.openxmlformats.org/officeDocument/2006/relationships/image" Target="media/image347.png"/><Relationship Id="rId491" Type="http://schemas.openxmlformats.org/officeDocument/2006/relationships/image" Target="media/image348.png"/><Relationship Id="rId492" Type="http://schemas.openxmlformats.org/officeDocument/2006/relationships/image" Target="media/image349.png"/><Relationship Id="rId493" Type="http://schemas.openxmlformats.org/officeDocument/2006/relationships/image" Target="media/image350.png"/><Relationship Id="rId494" Type="http://schemas.openxmlformats.org/officeDocument/2006/relationships/image" Target="media/image351.png"/><Relationship Id="rId495" Type="http://schemas.openxmlformats.org/officeDocument/2006/relationships/image" Target="media/image352.png"/><Relationship Id="rId496" Type="http://schemas.openxmlformats.org/officeDocument/2006/relationships/image" Target="media/image353.png"/><Relationship Id="rId497" Type="http://schemas.openxmlformats.org/officeDocument/2006/relationships/image" Target="media/image354.png"/><Relationship Id="rId498" Type="http://schemas.openxmlformats.org/officeDocument/2006/relationships/image" Target="media/image355.png"/><Relationship Id="rId499" Type="http://schemas.openxmlformats.org/officeDocument/2006/relationships/image" Target="media/image356.png"/><Relationship Id="rId500" Type="http://schemas.openxmlformats.org/officeDocument/2006/relationships/image" Target="media/image357.png"/><Relationship Id="rId501" Type="http://schemas.openxmlformats.org/officeDocument/2006/relationships/image" Target="media/image358.png"/><Relationship Id="rId502" Type="http://schemas.openxmlformats.org/officeDocument/2006/relationships/image" Target="media/image359.png"/><Relationship Id="rId503" Type="http://schemas.openxmlformats.org/officeDocument/2006/relationships/image" Target="media/image360.png"/><Relationship Id="rId504" Type="http://schemas.openxmlformats.org/officeDocument/2006/relationships/image" Target="media/image361.png"/><Relationship Id="rId505" Type="http://schemas.openxmlformats.org/officeDocument/2006/relationships/image" Target="media/image362.png"/><Relationship Id="rId506" Type="http://schemas.openxmlformats.org/officeDocument/2006/relationships/image" Target="media/image363.png"/><Relationship Id="rId507" Type="http://schemas.openxmlformats.org/officeDocument/2006/relationships/image" Target="media/image364.png"/><Relationship Id="rId508" Type="http://schemas.openxmlformats.org/officeDocument/2006/relationships/image" Target="media/image365.png"/><Relationship Id="rId509" Type="http://schemas.openxmlformats.org/officeDocument/2006/relationships/image" Target="media/image366.png"/><Relationship Id="rId510" Type="http://schemas.openxmlformats.org/officeDocument/2006/relationships/image" Target="media/image367.png"/><Relationship Id="rId511" Type="http://schemas.openxmlformats.org/officeDocument/2006/relationships/image" Target="media/image368.png"/><Relationship Id="rId512" Type="http://schemas.openxmlformats.org/officeDocument/2006/relationships/image" Target="media/image369.png"/><Relationship Id="rId513" Type="http://schemas.openxmlformats.org/officeDocument/2006/relationships/image" Target="media/image370.png"/><Relationship Id="rId514" Type="http://schemas.openxmlformats.org/officeDocument/2006/relationships/image" Target="media/image371.png"/><Relationship Id="rId515" Type="http://schemas.openxmlformats.org/officeDocument/2006/relationships/image" Target="media/image372.png"/><Relationship Id="rId516" Type="http://schemas.openxmlformats.org/officeDocument/2006/relationships/image" Target="media/image373.png"/><Relationship Id="rId517" Type="http://schemas.openxmlformats.org/officeDocument/2006/relationships/image" Target="media/image374.png"/><Relationship Id="rId518" Type="http://schemas.openxmlformats.org/officeDocument/2006/relationships/image" Target="media/image375.png"/><Relationship Id="rId519" Type="http://schemas.openxmlformats.org/officeDocument/2006/relationships/image" Target="media/image376.png"/><Relationship Id="rId520" Type="http://schemas.openxmlformats.org/officeDocument/2006/relationships/image" Target="media/image377.png"/><Relationship Id="rId521" Type="http://schemas.openxmlformats.org/officeDocument/2006/relationships/image" Target="media/image378.png"/><Relationship Id="rId522" Type="http://schemas.openxmlformats.org/officeDocument/2006/relationships/image" Target="media/image379.png"/><Relationship Id="rId523" Type="http://schemas.openxmlformats.org/officeDocument/2006/relationships/image" Target="media/image380.png"/><Relationship Id="rId524" Type="http://schemas.openxmlformats.org/officeDocument/2006/relationships/image" Target="media/image381.png"/><Relationship Id="rId525" Type="http://schemas.openxmlformats.org/officeDocument/2006/relationships/image" Target="media/image382.png"/><Relationship Id="rId526" Type="http://schemas.openxmlformats.org/officeDocument/2006/relationships/image" Target="media/image383.png"/><Relationship Id="rId527" Type="http://schemas.openxmlformats.org/officeDocument/2006/relationships/image" Target="media/image384.png"/><Relationship Id="rId528" Type="http://schemas.openxmlformats.org/officeDocument/2006/relationships/image" Target="media/image385.png"/><Relationship Id="rId529" Type="http://schemas.openxmlformats.org/officeDocument/2006/relationships/image" Target="media/image386.png"/><Relationship Id="rId530" Type="http://schemas.openxmlformats.org/officeDocument/2006/relationships/image" Target="media/image387.png"/><Relationship Id="rId531" Type="http://schemas.openxmlformats.org/officeDocument/2006/relationships/image" Target="media/image388.png"/><Relationship Id="rId532" Type="http://schemas.openxmlformats.org/officeDocument/2006/relationships/image" Target="media/image389.png"/><Relationship Id="rId533" Type="http://schemas.openxmlformats.org/officeDocument/2006/relationships/image" Target="media/image390.png"/><Relationship Id="rId534" Type="http://schemas.openxmlformats.org/officeDocument/2006/relationships/image" Target="media/image391.png"/><Relationship Id="rId535" Type="http://schemas.openxmlformats.org/officeDocument/2006/relationships/image" Target="media/image392.png"/><Relationship Id="rId536" Type="http://schemas.openxmlformats.org/officeDocument/2006/relationships/image" Target="media/image393.png"/><Relationship Id="rId537" Type="http://schemas.openxmlformats.org/officeDocument/2006/relationships/image" Target="media/image394.png"/><Relationship Id="rId538" Type="http://schemas.openxmlformats.org/officeDocument/2006/relationships/image" Target="media/image395.png"/><Relationship Id="rId539" Type="http://schemas.openxmlformats.org/officeDocument/2006/relationships/image" Target="media/image396.png"/><Relationship Id="rId540" Type="http://schemas.openxmlformats.org/officeDocument/2006/relationships/image" Target="media/image397.png"/><Relationship Id="rId541" Type="http://schemas.openxmlformats.org/officeDocument/2006/relationships/image" Target="media/image398.png"/><Relationship Id="rId542" Type="http://schemas.openxmlformats.org/officeDocument/2006/relationships/image" Target="media/image399.png"/><Relationship Id="rId543" Type="http://schemas.openxmlformats.org/officeDocument/2006/relationships/image" Target="media/image400.png"/><Relationship Id="rId544" Type="http://schemas.openxmlformats.org/officeDocument/2006/relationships/image" Target="media/image401.png"/><Relationship Id="rId545" Type="http://schemas.openxmlformats.org/officeDocument/2006/relationships/image" Target="media/image402.png"/><Relationship Id="rId546" Type="http://schemas.openxmlformats.org/officeDocument/2006/relationships/image" Target="media/image403.png"/><Relationship Id="rId547" Type="http://schemas.openxmlformats.org/officeDocument/2006/relationships/image" Target="media/image404.png"/><Relationship Id="rId158" Type="http://schemas.openxmlformats.org/officeDocument/2006/relationships/hyperlink" Target="http://www.sec.gov/Archives/edgar/data/750004/000110465913007612/a13-4443_1ex2d1.htm" TargetMode="External"/><Relationship Id="rId159" Type="http://schemas.openxmlformats.org/officeDocument/2006/relationships/hyperlink" Target="http://www.sec.gov/Archives/edgar/data/750004/000110465914056248/a14-18262_2ex2d1.htm" TargetMode="External"/><Relationship Id="rId161" Type="http://schemas.openxmlformats.org/officeDocument/2006/relationships/hyperlink" Target="http://www.sec.gov/Archives/edgar/data/750004/000095015717001315/ex2-1.htm" TargetMode="External"/><Relationship Id="rId163" Type="http://schemas.openxmlformats.org/officeDocument/2006/relationships/hyperlink" Target="http://www.sec.gov/Archives/edgar/data/750004/000095015717001563/ex2-1.htm" TargetMode="External"/><Relationship Id="rId165" Type="http://schemas.openxmlformats.org/officeDocument/2006/relationships/hyperlink" Target="http://www.sec.gov/Archives/edgar/data/750004/000095015717001304/ex2-1.htm" TargetMode="External"/><Relationship Id="rId167" Type="http://schemas.openxmlformats.org/officeDocument/2006/relationships/hyperlink" Target="http://www.sec.gov/Archives/edgar/data/750004/000095015721001061/ex2-01.htm" TargetMode="External"/><Relationship Id="rId169" Type="http://schemas.openxmlformats.org/officeDocument/2006/relationships/hyperlink" Target="http://www.sec.gov/Archives/edgar/data/750004/000095015721001124/ex2-1.htm" TargetMode="External"/><Relationship Id="rId171" Type="http://schemas.openxmlformats.org/officeDocument/2006/relationships/hyperlink" Target="http://www.sec.gov/Archives/edgar/data/750004/000095015718000089/ex3-3.htm" TargetMode="External"/><Relationship Id="rId173" Type="http://schemas.openxmlformats.org/officeDocument/2006/relationships/hyperlink" Target="http://www.sec.gov/Archives/edgar/data/750004/000095015718000089/ex3-4.htm" TargetMode="External"/><Relationship Id="rId175" Type="http://schemas.openxmlformats.org/officeDocument/2006/relationships/hyperlink" Target="http://www.sec.gov/Archives/edgar/data/750004/000095015718000089/ex3-1.htm" TargetMode="External"/><Relationship Id="rId177" Type="http://schemas.openxmlformats.org/officeDocument/2006/relationships/hyperlink" Target="http://www.sec.gov/Archives/edgar/data/750004/000095015718000089/ex3-5.htm" TargetMode="External"/><Relationship Id="rId179" Type="http://schemas.openxmlformats.org/officeDocument/2006/relationships/hyperlink" Target="http://www.sec.gov/Archives/edgar/data/750004/000095015718000089/ex3-2.htm" TargetMode="External"/><Relationship Id="rId182" Type="http://schemas.openxmlformats.org/officeDocument/2006/relationships/hyperlink" Target="http://www.sec.gov/Archives/edgar/data/750004/000110465914044548/a14-14991_1ex4d1.htm" TargetMode="External"/><Relationship Id="rId184" Type="http://schemas.openxmlformats.org/officeDocument/2006/relationships/hyperlink" Target="http://www.sec.gov/Archives/edgar/data/750004/000144530514004634/sgms9302014ex43.htm" TargetMode="External"/><Relationship Id="rId186" Type="http://schemas.openxmlformats.org/officeDocument/2006/relationships/hyperlink" Target="http://www.sec.gov/Archives/edgar/data/750004/000110465914083449/a14-25061_1ex4d8.htm" TargetMode="External"/><Relationship Id="rId188" Type="http://schemas.openxmlformats.org/officeDocument/2006/relationships/hyperlink" Target="http://www.sec.gov/Archives/edgar/data/750004/000075000415000020/sgms9302015ex43.htm" TargetMode="External"/><Relationship Id="rId190" Type="http://schemas.openxmlformats.org/officeDocument/2006/relationships/hyperlink" Target="http://www.sec.gov/Archives/edgar/data/750004/000075000417000180/exhibit102.htm" TargetMode="External"/><Relationship Id="rId192" Type="http://schemas.openxmlformats.org/officeDocument/2006/relationships/hyperlink" Target="http://www.sec.gov/Archives/edgar/data/750004/000095015718000089/ex4-5.htm" TargetMode="External"/><Relationship Id="rId194" Type="http://schemas.openxmlformats.org/officeDocument/2006/relationships/hyperlink" Target="http://www.sec.gov/Archives/edgar/data/750004/000075000419000007/ex425suppinddonbest2021.htm" TargetMode="External"/><Relationship Id="rId197" Type="http://schemas.openxmlformats.org/officeDocument/2006/relationships/hyperlink" Target="http://www.sec.gov/Archives/edgar/data/0000750004/000075000420000007/ex418-2021subordinated.htm" TargetMode="External"/><Relationship Id="rId199" Type="http://schemas.openxmlformats.org/officeDocument/2006/relationships/hyperlink" Target="http://www.sec.gov/Archives/edgar/data/750004/000110465914083449/a14-25061_1ex4d1.htm" TargetMode="External"/><Relationship Id="rId201" Type="http://schemas.openxmlformats.org/officeDocument/2006/relationships/hyperlink" Target="http://www.sec.gov/Archives/edgar/data/750004/000110465914083449/a14-25061_1ex4d2.htm" TargetMode="External"/><Relationship Id="rId203" Type="http://schemas.openxmlformats.org/officeDocument/2006/relationships/hyperlink" Target="http://www.sec.gov/Archives/edgar/data/750004/000075000415000020/sgms9302015ex44.htm" TargetMode="External"/><Relationship Id="rId205" Type="http://schemas.openxmlformats.org/officeDocument/2006/relationships/hyperlink" Target="http://www.sec.gov/Archives/edgar/data/750004/000075000417000180/exhibit103.htm" TargetMode="External"/><Relationship Id="rId207" Type="http://schemas.openxmlformats.org/officeDocument/2006/relationships/hyperlink" Target="http://www.sec.gov/Archives/edgar/data/750004/000095015718000089/ex4-7.htm" TargetMode="External"/><Relationship Id="rId209" Type="http://schemas.openxmlformats.org/officeDocument/2006/relationships/hyperlink" Target="http://www.sec.gov/Archives/edgar/data/750004/000075000419000007/ex431suppinddonbest2022.htm" TargetMode="External"/><Relationship Id="rId211" Type="http://schemas.openxmlformats.org/officeDocument/2006/relationships/hyperlink" Target="http://www.sec.gov/Archives/edgar/data/750004/000110465914083449/a14-25061_1ex4d3.htm" TargetMode="External"/><Relationship Id="rId213" Type="http://schemas.openxmlformats.org/officeDocument/2006/relationships/hyperlink" Target="http://www.sec.gov/Archives/edgar/data/750004/000110465914083449/a14-25061_1ex4d4.htm" TargetMode="External"/><Relationship Id="rId216" Type="http://schemas.openxmlformats.org/officeDocument/2006/relationships/hyperlink" Target="http://www.sec.gov/Archives/edgar/data/0000750004/000075000415000020/sgms9302015ex45.htm" TargetMode="External"/><Relationship Id="rId218" Type="http://schemas.openxmlformats.org/officeDocument/2006/relationships/hyperlink" Target="http://www.sec.gov/Archives/edgar/data/750004/000114420417008829/v459394_ex4-1.htm" TargetMode="External"/><Relationship Id="rId220" Type="http://schemas.openxmlformats.org/officeDocument/2006/relationships/hyperlink" Target="http://www.sec.gov/Archives/edgar/data/750004/000075000417000180/exhibit104.htm" TargetMode="External"/><Relationship Id="rId222" Type="http://schemas.openxmlformats.org/officeDocument/2006/relationships/hyperlink" Target="http://www.sec.gov/Archives/edgar/data/750004/000095015718000089/ex4-6.htm" TargetMode="External"/><Relationship Id="rId224" Type="http://schemas.openxmlformats.org/officeDocument/2006/relationships/hyperlink" Target="http://www.sec.gov/Archives/edgar/data/750004/000095015718000089/ex4-3.htm" TargetMode="External"/><Relationship Id="rId226" Type="http://schemas.openxmlformats.org/officeDocument/2006/relationships/hyperlink" Target="http://www.sec.gov/Archives/edgar/data/0000750004/000095015720000776/ex4-1.htm" TargetMode="External"/><Relationship Id="rId228" Type="http://schemas.openxmlformats.org/officeDocument/2006/relationships/hyperlink" Target="http://www.sec.gov/Archives/edgar/data/750004/000110465917062537/a17-24081_1ex4d1.htm" TargetMode="External"/><Relationship Id="rId230" Type="http://schemas.openxmlformats.org/officeDocument/2006/relationships/hyperlink" Target="http://www.sec.gov/Archives/edgar/data/750004/000110465918009732/a18-6142_1ex4d1.htm" TargetMode="External"/><Relationship Id="rId233" Type="http://schemas.openxmlformats.org/officeDocument/2006/relationships/hyperlink" Target="http://www.sec.gov/Archives/edgar/data/750004/000075000419000007/ex441suppinddonbest2020.htm" TargetMode="External"/><Relationship Id="rId235" Type="http://schemas.openxmlformats.org/officeDocument/2006/relationships/hyperlink" Target="http://www.sec.gov/Archives/edgar/data/0000750004/000075000420000007/ex435-2025securednotes.htm" TargetMode="External"/><Relationship Id="rId237" Type="http://schemas.openxmlformats.org/officeDocument/2006/relationships/hyperlink" Target="http://www.sec.gov/Archives/edgar/data/750004/000075000421000008/ex427-supplementalindentur.htm" TargetMode="External"/><Relationship Id="rId239" Type="http://schemas.openxmlformats.org/officeDocument/2006/relationships/hyperlink" Target="http://www.sec.gov/Archives/edgar/data/750004/000110465917062537/a17-24081_1ex4d2.htm" TargetMode="External"/><Relationship Id="rId241" Type="http://schemas.openxmlformats.org/officeDocument/2006/relationships/hyperlink" Target="http://www.sec.gov/Archives/edgar/data/750004/000110465918009732/a18-6142_1ex4d2.htm" TargetMode="External"/><Relationship Id="rId243" Type="http://schemas.openxmlformats.org/officeDocument/2006/relationships/hyperlink" Target="http://www.sec.gov/Archives/edgar/data/750004/000075000421000008/ex430-supplementalindentur.htm" TargetMode="External"/><Relationship Id="rId245" Type="http://schemas.openxmlformats.org/officeDocument/2006/relationships/hyperlink" Target="http://www.sec.gov/Archives/edgar/data/750004/000110465918009732/a18-6142_1ex4d3.htm" TargetMode="External"/><Relationship Id="rId247" Type="http://schemas.openxmlformats.org/officeDocument/2006/relationships/hyperlink" Target="http://www.sec.gov/Archives/edgar/data/750004/000075000419000007/ex445suppinddonbest2026.htm" TargetMode="External"/><Relationship Id="rId250" Type="http://schemas.openxmlformats.org/officeDocument/2006/relationships/hyperlink" Target="http://www.sec.gov/Archives/edgar/data/750004/000075000420000007/ex440-2026eurosecuredn.htm" TargetMode="External"/><Relationship Id="rId252" Type="http://schemas.openxmlformats.org/officeDocument/2006/relationships/hyperlink" Target="http://www.sec.gov/Archives/edgar/data/750004/000110465918009732/a18-6142_1ex4d4.htm" TargetMode="External"/><Relationship Id="rId254" Type="http://schemas.openxmlformats.org/officeDocument/2006/relationships/hyperlink" Target="http://www.sec.gov/Archives/edgar/data/750004/000075000419000007/exhibit447-supplementalind26.htm" TargetMode="External"/><Relationship Id="rId256" Type="http://schemas.openxmlformats.org/officeDocument/2006/relationships/hyperlink" Target="http://www.sec.gov/Archives/edgar/data/0000750004/000075000420000007/ex443-2026eurounsecure.htm" TargetMode="External"/><Relationship Id="rId258" Type="http://schemas.openxmlformats.org/officeDocument/2006/relationships/hyperlink" Target="http://www.sec.gov/Archives/edgar/data/750004/000075000421000008/ex437-supplementalindentur.htm" TargetMode="External"/><Relationship Id="rId260" Type="http://schemas.openxmlformats.org/officeDocument/2006/relationships/hyperlink" Target="http://www.sec.gov/Archives/edgar/data/0000750004/000095015719000296/ex4-1.htm" TargetMode="External"/><Relationship Id="rId262" Type="http://schemas.openxmlformats.org/officeDocument/2006/relationships/hyperlink" Target="http://www.sec.gov/Archives/edgar/data/0000750004/000075000420000007/ex445-2026unsecurednot.htm" TargetMode="External"/><Relationship Id="rId264" Type="http://schemas.openxmlformats.org/officeDocument/2006/relationships/hyperlink" Target="http://www.sec.gov/Archives/edgar/data/750004/000075000421000008/ex440-supplementalindentur.htm" TargetMode="External"/><Relationship Id="rId267" Type="http://schemas.openxmlformats.org/officeDocument/2006/relationships/hyperlink" Target="http://www.sec.gov/Archives/edgar/data/750004/000110465919067616/tm1922183d2_ex4-1.htm" TargetMode="External"/><Relationship Id="rId269" Type="http://schemas.openxmlformats.org/officeDocument/2006/relationships/hyperlink" Target="http://www.sec.gov/Archives/edgar/data/750004/000075000420000007/ex447-2028unsecurednot.htm" TargetMode="External"/><Relationship Id="rId271" Type="http://schemas.openxmlformats.org/officeDocument/2006/relationships/hyperlink" Target="http://www.sec.gov/Archives/edgar/data/750004/000075000421000008/ex443-supplementalindentur.htm" TargetMode="External"/><Relationship Id="rId273" Type="http://schemas.openxmlformats.org/officeDocument/2006/relationships/hyperlink" Target="http://www.sec.gov/Archives/edgar/data/750004/000110465919067616/tm1922183d2_ex4-2.htm" TargetMode="External"/><Relationship Id="rId275" Type="http://schemas.openxmlformats.org/officeDocument/2006/relationships/hyperlink" Target="http://www.sec.gov/Archives/edgar/data/750004/000075000420000007/ex449-2029unsecurednot.htm" TargetMode="External"/><Relationship Id="rId277" Type="http://schemas.openxmlformats.org/officeDocument/2006/relationships/hyperlink" Target="http://www.sec.gov/Archives/edgar/data/750004/000075000421000008/ex446-supplementalindentur.htm" TargetMode="External"/><Relationship Id="rId279" Type="http://schemas.openxmlformats.org/officeDocument/2006/relationships/hyperlink" Target="http://www.sec.gov/Archives/edgar/data/0000750004/000110465920079724/tm2023848d1_ex4-1.htm" TargetMode="External"/><Relationship Id="rId281" Type="http://schemas.openxmlformats.org/officeDocument/2006/relationships/hyperlink" Target="http://www.sec.gov/Archives/edgar/data/750004/000075000421000008/ex448-supplementalindentur.htm" TargetMode="External"/><Relationship Id="rId283" Type="http://schemas.openxmlformats.org/officeDocument/2006/relationships/hyperlink" Target="http://www.sec.gov/Archives/edgar/data/750004/000075000421000036/ex41-supplementalindenture.htm" TargetMode="External"/><Relationship Id="rId286" Type="http://schemas.openxmlformats.org/officeDocument/2006/relationships/hyperlink" Target="http://www.sec.gov/Archives/edgar/data/750004/000075000421000036/ex42-supplementalindenture.htm" TargetMode="External"/><Relationship Id="rId288" Type="http://schemas.openxmlformats.org/officeDocument/2006/relationships/hyperlink" Target="http://www.sec.gov/Archives/edgar/data/750004/000075000421000036/ex43-supplementalindenture.htm" TargetMode="External"/><Relationship Id="rId290" Type="http://schemas.openxmlformats.org/officeDocument/2006/relationships/hyperlink" Target="http://www.sec.gov/Archives/edgar/data/750004/000075000421000036/ex44-supplementalindenture.htm" TargetMode="External"/><Relationship Id="rId292" Type="http://schemas.openxmlformats.org/officeDocument/2006/relationships/hyperlink" Target="http://www.sec.gov/Archives/edgar/data/750004/000075000421000036/ex45-supplementalindenture.htm" TargetMode="External"/><Relationship Id="rId294" Type="http://schemas.openxmlformats.org/officeDocument/2006/relationships/hyperlink" Target="http://www.sec.gov/Archives/edgar/data/750004/000075000421000036/ex46-supplementalindenture.htm" TargetMode="External"/><Relationship Id="rId296" Type="http://schemas.openxmlformats.org/officeDocument/2006/relationships/hyperlink" Target="http://www.sec.gov/Archives/edgar/data/750004/000075000421000036/ex47-supplementalindenture.htm" TargetMode="External"/><Relationship Id="rId298" Type="http://schemas.openxmlformats.org/officeDocument/2006/relationships/hyperlink" Target="http://www.sec.gov/Archives/edgar/data/750004/000110465921122074/tm2128912d1_ex4-1.htm" TargetMode="External"/><Relationship Id="rId300" Type="http://schemas.openxmlformats.org/officeDocument/2006/relationships/hyperlink" Target="http://www.sec.gov/Archives/edgar/data/750004/000110465921122074/tm2128912d1_ex4-2.htm" TargetMode="External"/><Relationship Id="rId303" Type="http://schemas.openxmlformats.org/officeDocument/2006/relationships/hyperlink" Target="http://www.sec.gov/Archives/edgar/data/750004/000110465921122074/tm2128912d1_ex4-3.htm" TargetMode="External"/><Relationship Id="rId305" Type="http://schemas.openxmlformats.org/officeDocument/2006/relationships/hyperlink" Target="http://www.sec.gov/Archives/edgar/data/750004/000110465921122074/tm2128912d1_ex4-4.htm" TargetMode="External"/><Relationship Id="rId307" Type="http://schemas.openxmlformats.org/officeDocument/2006/relationships/hyperlink" Target="http://www.sec.gov/Archives/edgar/data/750004/000110465921122074/tm2128912d1_ex4-5.htm" TargetMode="External"/><Relationship Id="rId309" Type="http://schemas.openxmlformats.org/officeDocument/2006/relationships/hyperlink" Target="http://www.sec.gov/Archives/edgar/data/750004/000110465921122074/tm2128912d1_ex4-6.htm" TargetMode="External"/><Relationship Id="rId311" Type="http://schemas.openxmlformats.org/officeDocument/2006/relationships/hyperlink" Target="http://www.sec.gov/Archives/edgar/data/750004/000110465921122074/tm2128912d1_ex4-7.htm" TargetMode="External"/><Relationship Id="rId321" Type="http://schemas.openxmlformats.org/officeDocument/2006/relationships/hyperlink" Target="http://www.sec.gov/Archives/edgar/data/750004/000075000421000008/ex449-sgmsx10xkdescription.htm" TargetMode="External"/><Relationship Id="rId323" Type="http://schemas.openxmlformats.org/officeDocument/2006/relationships/hyperlink" Target="http://www.sec.gov/Archives/edgar/data/750004/000110465913076263/a13-22406_1ex10d1.htm" TargetMode="External"/><Relationship Id="rId325" Type="http://schemas.openxmlformats.org/officeDocument/2006/relationships/hyperlink" Target="http://www.sec.gov/Archives/edgar/data/750004/000110465914070546/a14-21946_2ex10d1.htm" TargetMode="External"/><Relationship Id="rId327" Type="http://schemas.openxmlformats.org/officeDocument/2006/relationships/hyperlink" Target="http://www.sec.gov/Archives/edgar/data/750004/000114420417008829/v459394_ex10-1.htm" TargetMode="External"/><Relationship Id="rId329" Type="http://schemas.openxmlformats.org/officeDocument/2006/relationships/hyperlink" Target="http://www.sec.gov/Archives/edgar/data/750004/000114420417043201/v473104_ex10-1.htm" TargetMode="External"/><Relationship Id="rId331" Type="http://schemas.openxmlformats.org/officeDocument/2006/relationships/hyperlink" Target="http://www.sec.gov/Archives/edgar/data/750004/000110465918009732/a18-6142_1ex10d1.htm" TargetMode="External"/><Relationship Id="rId334" Type="http://schemas.openxmlformats.org/officeDocument/2006/relationships/hyperlink" Target="http://www.sec.gov/Archives/edgar/data/750004/000110465919065943/tm1922218d2_ex10-1.htm" TargetMode="External"/><Relationship Id="rId336" Type="http://schemas.openxmlformats.org/officeDocument/2006/relationships/hyperlink" Target="https://www.sec.gov/Archives/edgar/data/0000750004/000075000420000066/exhibit1011-amendmentn.htm" TargetMode="External"/><Relationship Id="rId338" Type="http://schemas.openxmlformats.org/officeDocument/2006/relationships/hyperlink" Target="https://www.sec.gov/Archives/edgar/data/0000750004/000110465920113445/tm2032551d1_ex10-1.htm" TargetMode="External"/><Relationship Id="rId340" Type="http://schemas.openxmlformats.org/officeDocument/2006/relationships/hyperlink" Target="http://www.sec.gov/Archives/edgar/data/750004/000110465914070546/a14-21946_2ex10d2.htm" TargetMode="External"/><Relationship Id="rId342" Type="http://schemas.openxmlformats.org/officeDocument/2006/relationships/hyperlink" Target="http://www.sec.gov/Archives/edgar/data/750004/000110465913076263/a13-22406_1ex10d2.htm" TargetMode="External"/><Relationship Id="rId344" Type="http://schemas.openxmlformats.org/officeDocument/2006/relationships/hyperlink" Target="http://www.sec.gov/Archives/edgar/data/750004/000110465914083449/a14-25061_1ex10d1.htm" TargetMode="External"/><Relationship Id="rId346" Type="http://schemas.openxmlformats.org/officeDocument/2006/relationships/hyperlink" Target="http://www.sec.gov/Archives/edgar/data/750004/000114420417008829/v459394_ex10-2.htm" TargetMode="External"/><Relationship Id="rId349" Type="http://schemas.openxmlformats.org/officeDocument/2006/relationships/hyperlink" Target="http://www.sec.gov/Archives/edgar/data/750004/000100547700006542/0001005477-00-006542-0008.txt" TargetMode="External"/><Relationship Id="rId351" Type="http://schemas.openxmlformats.org/officeDocument/2006/relationships/hyperlink" Target="http://www.sec.gov/Archives/edgar/data/750004/000091205702032189/a2087169zex-4_2.htm" TargetMode="External"/><Relationship Id="rId353" Type="http://schemas.openxmlformats.org/officeDocument/2006/relationships/hyperlink" Target="http://www.sec.gov/Archives/edgar/data/750004/000089882203001139/nov26scigamesex3to13d.txt" TargetMode="External"/><Relationship Id="rId355" Type="http://schemas.openxmlformats.org/officeDocument/2006/relationships/hyperlink" Target="http://www.sec.gov/Archives/edgar/data/750004/000110465907011957/a07-4722_1ex10d1.htm" TargetMode="External"/><Relationship Id="rId357" Type="http://schemas.openxmlformats.org/officeDocument/2006/relationships/hyperlink" Target="https://www.sec.gov/Archives/edgar/data/0000750004/000075000420000132/exhibit102-mfletteragr.htm" TargetMode="External"/><Relationship Id="rId359" Type="http://schemas.openxmlformats.org/officeDocument/2006/relationships/hyperlink" Target="http://www.sec.gov/Archives/edgar/data/750004/000110465919027607/a19-9535_1ex10d1.htm" TargetMode="External"/><Relationship Id="rId361" Type="http://schemas.openxmlformats.org/officeDocument/2006/relationships/hyperlink" Target="http://www.sec.gov/Archives/edgar/data/750004/000110465911045417/a11-13896_1ex10d1.htm" TargetMode="External"/><Relationship Id="rId364" Type="http://schemas.openxmlformats.org/officeDocument/2006/relationships/hyperlink" Target="http://www.sec.gov/Archives/edgar/data/750004/000095015721000634/ex10-1.htm" TargetMode="External"/><Relationship Id="rId366" Type="http://schemas.openxmlformats.org/officeDocument/2006/relationships/hyperlink" Target="http://www.sec.gov/Archives/edgar/data/750004/0000950109-98-000499.txt" TargetMode="External"/><Relationship Id="rId368" Type="http://schemas.openxmlformats.org/officeDocument/2006/relationships/hyperlink" Target="http://www.sec.gov/Archives/edgar/data/750004/000110465910060992/a10-22256_1ex10d4.htm" TargetMode="External"/><Relationship Id="rId370" Type="http://schemas.openxmlformats.org/officeDocument/2006/relationships/hyperlink" Target="http://www.sec.gov/Archives/edgar/data/0000750004/000075000418000079/omnibusplanamendmentexhibi.htm" TargetMode="External"/><Relationship Id="rId372" Type="http://schemas.openxmlformats.org/officeDocument/2006/relationships/hyperlink" Target="https://www.sec.gov/Archives/edgar/data/0000750004/000095015720001032/ex10-1.htm" TargetMode="External"/><Relationship Id="rId375" Type="http://schemas.openxmlformats.org/officeDocument/2006/relationships/hyperlink" Target="http://www.sec.gov/Archives/edgar/data/750004/000075000416000023/exhibit1047employmentagree.htm" TargetMode="External"/><Relationship Id="rId377" Type="http://schemas.openxmlformats.org/officeDocument/2006/relationships/hyperlink" Target="http://www.sec.gov/Archives/edgar/data/750004/000075000419000007/exhibit1025-mikeqamendment.htm" TargetMode="External"/><Relationship Id="rId379" Type="http://schemas.openxmlformats.org/officeDocument/2006/relationships/hyperlink" Target="http://www.sec.gov/Archives/edgar/data/0000750004/000075000420000066/exhibit102-quartieriam.htm" TargetMode="External"/><Relationship Id="rId381" Type="http://schemas.openxmlformats.org/officeDocument/2006/relationships/hyperlink" Target="http://www.sec.gov/Archives/edgar/data/0000750004/000075000420000123/exhibit104-quartieriea.htm" TargetMode="External"/><Relationship Id="rId383" Type="http://schemas.openxmlformats.org/officeDocument/2006/relationships/hyperlink" Target="http://www.sec.gov/Archives/edgar/data/0000750004/000075000420000123/exhibit105-quartierico.htm" TargetMode="External"/><Relationship Id="rId385" Type="http://schemas.openxmlformats.org/officeDocument/2006/relationships/hyperlink" Target="http://www.sec.gov/Archives/edgar/data/750004/000075000421000036/ex103-conniejameseaxxexecu.htm" TargetMode="External"/><Relationship Id="rId387" Type="http://schemas.openxmlformats.org/officeDocument/2006/relationships/hyperlink" Target="http://www.sec.gov/Archives/edgar/data/750004/000095015721000634/ex10-2.htm" TargetMode="External"/><Relationship Id="rId389" Type="http://schemas.openxmlformats.org/officeDocument/2006/relationships/hyperlink" Target="http://www.sec.gov/Archives/edgar/data/750004/000075000417000072/exhibit103winterscheidt-am.htm" TargetMode="External"/><Relationship Id="rId391" Type="http://schemas.openxmlformats.org/officeDocument/2006/relationships/hyperlink" Target="http://www.sec.gov/Archives/edgar/data/750004/000075000419000007/exhibit1056amendmenttoemploy.htm" TargetMode="External"/><Relationship Id="rId393" Type="http://schemas.openxmlformats.org/officeDocument/2006/relationships/hyperlink" Target="http://www.sec.gov/Archives/edgar/data/0000750004/000075000420000066/exhibit109-winterschei.htm" TargetMode="External"/><Relationship Id="rId395" Type="http://schemas.openxmlformats.org/officeDocument/2006/relationships/hyperlink" Target="http://www.sec.gov/Archives/edgar/data/0000750004/000075000420000123/exhibit1015-wintersche.htm" TargetMode="External"/><Relationship Id="rId397" Type="http://schemas.openxmlformats.org/officeDocument/2006/relationships/hyperlink" Target="http://www.sec.gov/Archives/edgar/data/0000750004/000075000420000123/exhibit1016-wintersche.htm" TargetMode="External"/><Relationship Id="rId400" Type="http://schemas.openxmlformats.org/officeDocument/2006/relationships/hyperlink" Target="http://www.sec.gov/Archives/edgar/data/750004/000075000421000020/ex102.htm" TargetMode="External"/><Relationship Id="rId402" Type="http://schemas.openxmlformats.org/officeDocument/2006/relationships/hyperlink" Target="http://www.sec.gov/Archives/edgar/data/750004/000075000421000028/ex102-6302021.htm" TargetMode="External"/><Relationship Id="rId405" Type="http://schemas.openxmlformats.org/officeDocument/2006/relationships/hyperlink" Target="http://www.sec.gov/Archives/edgar/data/0000750004/000075000418000079/richardsonstephen-employme.htm" TargetMode="External"/><Relationship Id="rId407" Type="http://schemas.openxmlformats.org/officeDocument/2006/relationships/hyperlink" Target="http://www.sec.gov/Archives/edgar/data/0000750004/000075000420000066/exhibit108-richardsona.htm" TargetMode="External"/><Relationship Id="rId409" Type="http://schemas.openxmlformats.org/officeDocument/2006/relationships/hyperlink" Target="http://www.sec.gov/Archives/edgar/data/0000750004/000075000420000123/exhibit1013-richardson.htm" TargetMode="External"/><Relationship Id="rId411" Type="http://schemas.openxmlformats.org/officeDocument/2006/relationships/hyperlink" Target="http://www.sec.gov/Archives/edgar/data/750004/000075000421000008/ex1052-barrycottleemployme.htm" TargetMode="External"/><Relationship Id="rId413" Type="http://schemas.openxmlformats.org/officeDocument/2006/relationships/hyperlink" Target="http://www.sec.gov/Archives/edgar/data/750004/000075000421000028/ex103-6302021.htm" TargetMode="External"/><Relationship Id="rId415" Type="http://schemas.openxmlformats.org/officeDocument/2006/relationships/hyperlink" Target="http://www.sec.gov/Archives/edgar/data/750004/000075000419000007/exhibit1055-amendedandrest.htm" TargetMode="External"/><Relationship Id="rId417" Type="http://schemas.openxmlformats.org/officeDocument/2006/relationships/hyperlink" Target="http://www.sec.gov/Archives/edgar/data/0000750004/000075000420000066/exhibit106-mchugh2020a.htm" TargetMode="External"/><Relationship Id="rId419" Type="http://schemas.openxmlformats.org/officeDocument/2006/relationships/hyperlink" Target="http://www.sec.gov/Archives/edgar/data/0000750004/000075000420000066/exhibit107-mchughamend.htm" TargetMode="External"/><Relationship Id="rId421" Type="http://schemas.openxmlformats.org/officeDocument/2006/relationships/hyperlink" Target="http://www.sec.gov/Archives/edgar/data/0000750004/000075000420000123/exhibit1011-mchugheaam.htm" TargetMode="External"/><Relationship Id="rId424" Type="http://schemas.openxmlformats.org/officeDocument/2006/relationships/hyperlink" Target="http://www.sec.gov/Archives/edgar/data/750004/000075000421000036/ex102-mchughamendmentxx9721.htm" TargetMode="External"/><Relationship Id="rId426" Type="http://schemas.openxmlformats.org/officeDocument/2006/relationships/hyperlink" Target="http://www.sec.gov/Archives/edgar/data/0000750004/000075000420000066/exhibit104-employmenta.htm" TargetMode="External"/><Relationship Id="rId428" Type="http://schemas.openxmlformats.org/officeDocument/2006/relationships/hyperlink" Target="http://www.sec.gov/Archives/edgar/data/0000750004/000075000420000066/exhibit105-wilsonamend.htm" TargetMode="External"/><Relationship Id="rId430" Type="http://schemas.openxmlformats.org/officeDocument/2006/relationships/hyperlink" Target="http://www.sec.gov/Archives/edgar/data/0000750004/000075000420000123/exhibit109-wilsoneaame.htm" TargetMode="External"/><Relationship Id="rId432" Type="http://schemas.openxmlformats.org/officeDocument/2006/relationships/hyperlink" Target="http://www.sec.gov/Archives/edgar/data/0000750004/000075000420000132/exhibit106-wilsoneaame.htm" TargetMode="External"/><Relationship Id="rId434" Type="http://schemas.openxmlformats.org/officeDocument/2006/relationships/hyperlink" Target="http://www.sec.gov/Archives/edgar/data/0000750004/000075000420000123/exhibit1019-eklundempl.htm" TargetMode="External"/><Relationship Id="rId436" Type="http://schemas.openxmlformats.org/officeDocument/2006/relationships/hyperlink" Target="http://www.sec.gov/Archives/edgar/data/750004/000075000421000008/ex1068-eklundxxfirstamendm.htm" TargetMode="External"/><Relationship Id="rId439" Type="http://schemas.openxmlformats.org/officeDocument/2006/relationships/hyperlink" Target="http://www.sec.gov/Archives/edgar/data/0000750004/000075000420000132/exhibit1015-arconsulti.htm" TargetMode="External"/><Relationship Id="rId441" Type="http://schemas.openxmlformats.org/officeDocument/2006/relationships/hyperlink" Target="http://www.sec.gov/Archives/edgar/data/0000750004/000075000420000132/exhibit1011-arconsulti.htm" TargetMode="External"/><Relationship Id="rId443" Type="http://schemas.openxmlformats.org/officeDocument/2006/relationships/hyperlink" Target="http://www.sec.gov/Archives/edgar/data/750004/000110465921096978/tm2123356d1_ex10-1.htm" TargetMode="External"/><Relationship Id="rId447" Type="http://schemas.openxmlformats.org/officeDocument/2006/relationships/hyperlink" Target="http://www.sec.gov/Archives/edgar/data/750004/000075000421000020/ex991.htm" TargetMode="External"/><Relationship Id="rId448" Type="http://schemas.openxmlformats.org/officeDocument/2006/relationships/hyperlink" Target="http://www.sec.gov/Archives/edgar/data/750004/000075000415000005/exhibit9910equityawardston.htm" TargetMode="External"/><Relationship Id="rId449" Type="http://schemas.openxmlformats.org/officeDocument/2006/relationships/hyperlink" Target="http://www.sec.gov/Archives/edgar/data/750004/000075000415000005/exhibit9911equityawardstoc.htm" TargetMode="External"/><Relationship Id="rId450" Type="http://schemas.openxmlformats.org/officeDocument/2006/relationships/hyperlink" Target="http://www.sec.gov/Archives/edgar/data/750004/000075000418000079/a991-tox10xqxformofequity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2022-03-01T19:08:11Z</dcterms:created>
  <dcterms:modified xsi:type="dcterms:W3CDTF">2022-03-01T19:08:11Z</dcterms:modified>
</cp:coreProperties>
</file>