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035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35550"/>
                    </a:xfrm>
                    <a:prstGeom prst="rect">
                      <a:avLst/>
                    </a:prstGeom>
                    <a:noFill/>
                  </pic:spPr>
                </pic:pic>
              </a:graphicData>
            </a:graphic>
          </wp:anchor>
        </w:drawing>
      </w:r>
    </w:p>
    <w:p>
      <w:pPr>
        <w:spacing w:after="0" w:line="1230"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Marchetti Michael</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LIGHT &amp; WONDER,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6601 BERMUDA ROAD</w:t>
      </w:r>
    </w:p>
    <w:p>
      <w:pPr>
        <w:spacing w:after="0" w:line="28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NV</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89119</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80" w:type="dxa"/>
            <w:vAlign w:val="bottom"/>
            <w:gridSpan w:val="3"/>
          </w:tcPr>
          <w:p>
            <w:pPr>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Light &amp; Wonder,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ASX:LNW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8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06/10/2026</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0"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4"/>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06/10/2026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9"/>
              </w:rPr>
              <w:t>2,391</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5,550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2,391</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06/10/2026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4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2,391</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ind w:right="6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2,498</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06/10/2026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2,498</w:t>
            </w:r>
          </w:p>
        </w:tc>
        <w:tc>
          <w:tcPr>
            <w:tcW w:w="4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2,498</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60" w:firstLine="1"/>
        <w:spacing w:after="0" w:line="290" w:lineRule="auto"/>
        <w:tabs>
          <w:tab w:leader="none" w:pos="16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via CHESS Depositary Interests ("CDIs"), which are units of beneficial ownership in shares of common stock of the Company that are publicly traded on the Australian Securities Exchange (the "ASX") and held by CHESS Depositary Nominees Pty. Limited, a subsidiary of ASX Limited, the company that operates the ASX. Each CDI represents one fully paid share of common stock.</w:t>
      </w: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stock units granted on June 10, 2025. The award has fully vested. Each restricted stock unit converted into a share of common stock on a one-for-one basis.</w:t>
      </w:r>
    </w:p>
    <w:p>
      <w:pPr>
        <w:spacing w:after="0" w:line="43" w:lineRule="exact"/>
        <w:rPr>
          <w:rFonts w:ascii="Times New Roman" w:cs="Times New Roman" w:eastAsia="Times New Roman" w:hAnsi="Times New Roman"/>
          <w:sz w:val="13"/>
          <w:szCs w:val="13"/>
          <w:color w:val="008000"/>
        </w:rPr>
      </w:pPr>
    </w:p>
    <w:p>
      <w:pPr>
        <w:ind w:left="40" w:right="160" w:firstLine="1"/>
        <w:spacing w:after="0" w:line="247"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scheduled to vest on the earlier of (a) the date of the issuer's 2027 annual meeting of stockholders and (b) June 10, 2027. Each unit converts into a share of common stock on a one-for-one basis.</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Sweta Gabhawala, attorney-  </w:t>
      </w:r>
      <w:r>
        <w:rPr>
          <w:rFonts w:ascii="Times New Roman" w:cs="Times New Roman" w:eastAsia="Times New Roman" w:hAnsi="Times New Roman"/>
          <w:sz w:val="31"/>
          <w:szCs w:val="31"/>
          <w:color w:val="0000FF"/>
          <w:vertAlign w:val="subscript"/>
        </w:rPr>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5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Michael Marchetti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1240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015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b w:val="1"/>
          <w:bCs w:val="1"/>
          <w:color w:val="auto"/>
        </w:rPr>
        <w:t>Exhibit 24</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POWER OF ATTORNEY</w:t>
      </w:r>
    </w:p>
    <w:p>
      <w:pPr>
        <w:spacing w:after="0" w:line="220" w:lineRule="exact"/>
        <w:rPr>
          <w:sz w:val="20"/>
          <w:szCs w:val="20"/>
          <w:color w:val="auto"/>
        </w:rPr>
      </w:pPr>
    </w:p>
    <w:p>
      <w:pPr>
        <w:ind w:firstLine="617"/>
        <w:spacing w:after="0" w:line="285"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Susan Dawson, John Cuddihy and Sweta Gabhawala, signing singly, the undersigned’s true and lawful attorneys-in-fact to:</w:t>
      </w:r>
    </w:p>
    <w:p>
      <w:pPr>
        <w:spacing w:after="0" w:line="153" w:lineRule="exact"/>
        <w:rPr>
          <w:sz w:val="20"/>
          <w:szCs w:val="20"/>
          <w:color w:val="auto"/>
        </w:rPr>
      </w:pPr>
    </w:p>
    <w:p>
      <w:pPr>
        <w:jc w:val="both"/>
        <w:ind w:left="620" w:right="460" w:hanging="309"/>
        <w:spacing w:after="0" w:line="269"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capacity as an officer and/or director of Light &amp; Wonder, Inc. (the “Company”), Forms 3, 4 and 5 in accordance with Section 16(a) of the Securities Exchange Act of 1934, as amended (the “Exchange Act”), and the rules thereunder;</w:t>
      </w:r>
    </w:p>
    <w:p>
      <w:pPr>
        <w:spacing w:after="0" w:line="165" w:lineRule="exact"/>
        <w:rPr>
          <w:rFonts w:ascii="Times New Roman" w:cs="Times New Roman" w:eastAsia="Times New Roman" w:hAnsi="Times New Roman"/>
          <w:sz w:val="17"/>
          <w:szCs w:val="17"/>
          <w:color w:val="auto"/>
        </w:rPr>
      </w:pPr>
    </w:p>
    <w:p>
      <w:pPr>
        <w:jc w:val="both"/>
        <w:ind w:left="620" w:right="480" w:hanging="309"/>
        <w:spacing w:after="0" w:line="269"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Form 3, 4 and 5, and any amendments thereto, and timely file such form or report with the Securities and Exchange Commission and any stock exchange or similar authority; and</w:t>
      </w:r>
    </w:p>
    <w:p>
      <w:pPr>
        <w:spacing w:after="0" w:line="165" w:lineRule="exact"/>
        <w:rPr>
          <w:rFonts w:ascii="Times New Roman" w:cs="Times New Roman" w:eastAsia="Times New Roman" w:hAnsi="Times New Roman"/>
          <w:sz w:val="17"/>
          <w:szCs w:val="17"/>
          <w:color w:val="auto"/>
        </w:rPr>
      </w:pPr>
    </w:p>
    <w:p>
      <w:pPr>
        <w:jc w:val="both"/>
        <w:ind w:left="620" w:right="460" w:hanging="309"/>
        <w:spacing w:after="0" w:line="263"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jc w:val="both"/>
        <w:ind w:firstLine="617"/>
        <w:spacing w:after="0" w:line="259"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74" w:lineRule="exact"/>
        <w:rPr>
          <w:sz w:val="20"/>
          <w:szCs w:val="20"/>
          <w:color w:val="auto"/>
        </w:rPr>
      </w:pPr>
    </w:p>
    <w:p>
      <w:pPr>
        <w:jc w:val="both"/>
        <w:ind w:right="20" w:firstLine="617"/>
        <w:spacing w:after="0" w:line="269" w:lineRule="auto"/>
        <w:rPr>
          <w:sz w:val="20"/>
          <w:szCs w:val="20"/>
          <w:color w:val="auto"/>
        </w:rPr>
      </w:pPr>
      <w:r>
        <w:rPr>
          <w:rFonts w:ascii="Times New Roman" w:cs="Times New Roman" w:eastAsia="Times New Roman" w:hAnsi="Times New Roman"/>
          <w:sz w:val="17"/>
          <w:szCs w:val="17"/>
          <w:color w:val="auto"/>
        </w:rPr>
        <w:t>This Power of Attorney supersedes any Power of Attorney previously granted by the undersigned with respect to the foregoing matters and shall remain in full force and effect until the undersigned is no longer required to file Forms 3, 4 or 5 with respect to the undersigned’s holdings of and transactions in securities issued by the Company, unless earlier revoked by the undersigned in a signed writing delivered to the foregoing attorneys-in-fact.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executed this Power of Attorney on this 12th day of June, 2026.</w:t>
      </w:r>
    </w:p>
    <w:p>
      <w:pPr>
        <w:spacing w:after="0" w:line="200" w:lineRule="exact"/>
        <w:rPr>
          <w:sz w:val="20"/>
          <w:szCs w:val="20"/>
          <w:color w:val="auto"/>
        </w:rPr>
      </w:pPr>
    </w:p>
    <w:p>
      <w:pPr>
        <w:spacing w:after="0" w:line="2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 Michael Marchetti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17145</wp:posOffset>
            </wp:positionV>
            <wp:extent cx="2644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644140" cy="8255"/>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Michael Marchetti</w:t>
      </w:r>
    </w:p>
    <w:sectPr>
      <w:pgSz w:w="11900" w:h="16838" w:orient="portrait"/>
      <w:cols w:equalWidth="0" w:num="1">
        <w:col w:w="10980"/>
      </w:cols>
      <w:pgMar w:left="460" w:top="35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04491" TargetMode="External"/><Relationship Id="rId14" Type="http://schemas.openxmlformats.org/officeDocument/2006/relationships/hyperlink" Target="http://www.sec.gov/cgi-bin/browse-edgar?action=getcompany&amp;CIK=00007500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2026-06-12T20:49:22Z</dcterms:created>
  <dcterms:modified xsi:type="dcterms:W3CDTF">2026-06-12T20:49:22Z</dcterms:modified>
</cp:coreProperties>
</file>