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40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044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Korsanos Antonia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600" w:type="dxa"/>
            <w:vAlign w:val="bottom"/>
          </w:tcPr>
          <w:p>
            <w:pPr>
              <w:ind w:left="140"/>
              <w:spacing w:after="0"/>
              <w:rPr>
                <w:sz w:val="20"/>
                <w:szCs w:val="20"/>
                <w:color w:val="auto"/>
              </w:rPr>
            </w:pPr>
            <w:r>
              <w:rPr>
                <w:rFonts w:ascii="Arial" w:cs="Arial" w:eastAsia="Arial" w:hAnsi="Arial"/>
                <w:sz w:val="13"/>
                <w:szCs w:val="13"/>
                <w:color w:val="auto"/>
                <w:w w:val="93"/>
              </w:rPr>
              <w:t>(Middle)</w:t>
            </w:r>
          </w:p>
        </w:tc>
      </w:tr>
      <w:tr>
        <w:trPr>
          <w:trHeight w:val="26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LIGHT &amp; WONDER, INC.</w:t>
            </w:r>
          </w:p>
        </w:tc>
        <w:tc>
          <w:tcPr>
            <w:tcW w:w="600" w:type="dxa"/>
            <w:vAlign w:val="bottom"/>
          </w:tcPr>
          <w:p>
            <w:pPr>
              <w:spacing w:after="0"/>
              <w:rPr>
                <w:sz w:val="22"/>
                <w:szCs w:val="22"/>
                <w:color w:val="auto"/>
              </w:rPr>
            </w:pPr>
          </w:p>
        </w:tc>
      </w:tr>
      <w:tr>
        <w:trPr>
          <w:trHeight w:val="254"/>
        </w:trPr>
        <w:tc>
          <w:tcPr>
            <w:tcW w:w="2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6601 BERMUDA ROAD</w:t>
            </w:r>
          </w:p>
        </w:tc>
        <w:tc>
          <w:tcPr>
            <w:tcW w:w="600" w:type="dxa"/>
            <w:vAlign w:val="bottom"/>
          </w:tcPr>
          <w:p>
            <w:pPr>
              <w:spacing w:after="0"/>
              <w:rPr>
                <w:sz w:val="22"/>
                <w:szCs w:val="22"/>
                <w:color w:val="auto"/>
              </w:rPr>
            </w:pPr>
          </w:p>
        </w:tc>
      </w:tr>
      <w:tr>
        <w:trPr>
          <w:trHeight w:val="422"/>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6"/>
        </w:trPr>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LAS VEGAS</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89119</w:t>
            </w:r>
          </w:p>
        </w:tc>
      </w:tr>
      <w:tr>
        <w:trPr>
          <w:trHeight w:val="461"/>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6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Light &amp; Wonder,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ASX:LNW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20" w:type="dxa"/>
            <w:vAlign w:val="bottom"/>
            <w:tcBorders>
              <w:bottom w:val="single" w:sz="8" w:color="2C2C2C"/>
            </w:tcBorders>
          </w:tcPr>
          <w:p>
            <w:pPr>
              <w:spacing w:after="0"/>
              <w:rPr>
                <w:sz w:val="23"/>
                <w:szCs w:val="23"/>
                <w:color w:val="auto"/>
              </w:rPr>
            </w:pPr>
          </w:p>
        </w:tc>
        <w:tc>
          <w:tcPr>
            <w:tcW w:w="20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7"/>
              </w:rPr>
              <w:t>135,000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162,565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06/15/2026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8"/>
              </w:rPr>
              <w:t>53,748</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88.2</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108,817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06/16/2026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8"/>
              </w:rPr>
              <w:t>30,000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90.08</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78,817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313</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jc w:val="center"/>
              <w:ind w:left="41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35.42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135,000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09/28/2026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135,000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527,933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withholding of CDIs to pay the exercise price upon the exercise of stock options. Price converted from Australian Dollars into U.S. Dollars based on an exchange rate of $1 AUD to $0.7047 USD.</w:t>
      </w:r>
    </w:p>
    <w:p>
      <w:pPr>
        <w:spacing w:after="0" w:line="52" w:lineRule="exact"/>
        <w:rPr>
          <w:rFonts w:ascii="Times New Roman" w:cs="Times New Roman" w:eastAsia="Times New Roman" w:hAnsi="Times New Roman"/>
          <w:sz w:val="12"/>
          <w:szCs w:val="12"/>
          <w:color w:val="008000"/>
        </w:rPr>
      </w:pPr>
    </w:p>
    <w:p>
      <w:pPr>
        <w:ind w:left="40" w:right="4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CDIs to cover tax liability in connection with the exercise of stock options. Price converted from Australian Dollars into U.S. Dollars based on an exchange rate of $1 AUD to $0.7068 USD.</w:t>
      </w:r>
    </w:p>
    <w:p>
      <w:pPr>
        <w:spacing w:after="0" w:line="19" w:lineRule="exact"/>
        <w:rPr>
          <w:rFonts w:ascii="Times New Roman" w:cs="Times New Roman" w:eastAsia="Times New Roman" w:hAnsi="Times New Roman"/>
          <w:sz w:val="13"/>
          <w:szCs w:val="13"/>
          <w:color w:val="008000"/>
        </w:rPr>
      </w:pPr>
    </w:p>
    <w:p>
      <w:pPr>
        <w:ind w:left="40" w:right="5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held by her child. This report should not be deemed an admission that the reporting person is the beneficial owner of her child's shares for purposes of Section 16 or for any other purpose.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in three equal installments on September 28, 2021, 2022 and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Sweta Gabhawala,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06/17/2026</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in-fact for Antonia Korsanos</w:t>
            </w:r>
          </w:p>
        </w:tc>
        <w:tc>
          <w:tcPr>
            <w:tcW w:w="3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POWER OF ATTORNEY</w:t>
      </w:r>
    </w:p>
    <w:p>
      <w:pPr>
        <w:spacing w:after="0" w:line="216" w:lineRule="exact"/>
        <w:rPr>
          <w:sz w:val="20"/>
          <w:szCs w:val="20"/>
          <w:color w:val="auto"/>
        </w:rPr>
      </w:pPr>
    </w:p>
    <w:p>
      <w:pPr>
        <w:ind w:firstLine="610"/>
        <w:spacing w:after="0" w:line="278"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Susan Dawson, John Cuddihy and Sweta Gabhawala, signing singly, the undersigned’s true and lawful attorneys-in-fact to:</w:t>
      </w:r>
    </w:p>
    <w:p>
      <w:pPr>
        <w:spacing w:after="0" w:line="158" w:lineRule="exact"/>
        <w:rPr>
          <w:sz w:val="20"/>
          <w:szCs w:val="20"/>
          <w:color w:val="auto"/>
        </w:rPr>
      </w:pPr>
    </w:p>
    <w:p>
      <w:pPr>
        <w:jc w:val="both"/>
        <w:ind w:left="620" w:right="460" w:hanging="313"/>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and/or director of Light &amp; Wonder, Inc. (the “Company”), Forms 3, 4 and 5 in accordance with Section 16(a) of the Securities Exchange Act of 1934, as amended (the “Exchange Act”), and the rules thereunder;</w:t>
      </w:r>
    </w:p>
    <w:p>
      <w:pPr>
        <w:spacing w:after="0" w:line="168" w:lineRule="exact"/>
        <w:rPr>
          <w:rFonts w:ascii="Times New Roman" w:cs="Times New Roman" w:eastAsia="Times New Roman" w:hAnsi="Times New Roman"/>
          <w:sz w:val="17"/>
          <w:szCs w:val="17"/>
          <w:color w:val="auto"/>
        </w:rPr>
      </w:pPr>
    </w:p>
    <w:p>
      <w:pPr>
        <w:jc w:val="both"/>
        <w:ind w:left="620" w:right="460" w:hanging="313"/>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any such Form 3, 4 and 5, and any amendments thereto, and timely file such form or report with the Securities and Exchange Commission and any stock exchange or similar authority; and</w:t>
      </w:r>
    </w:p>
    <w:p>
      <w:pPr>
        <w:spacing w:after="0" w:line="168" w:lineRule="exact"/>
        <w:rPr>
          <w:rFonts w:ascii="Times New Roman" w:cs="Times New Roman" w:eastAsia="Times New Roman" w:hAnsi="Times New Roman"/>
          <w:sz w:val="17"/>
          <w:szCs w:val="17"/>
          <w:color w:val="auto"/>
        </w:rPr>
      </w:pPr>
    </w:p>
    <w:p>
      <w:pPr>
        <w:jc w:val="both"/>
        <w:ind w:left="620" w:right="460" w:hanging="313"/>
        <w:spacing w:after="0" w:line="259"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jc w:val="both"/>
        <w:ind w:firstLine="610"/>
        <w:spacing w:after="0" w:line="255"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jc w:val="both"/>
        <w:ind w:firstLine="610"/>
        <w:spacing w:after="0" w:line="264" w:lineRule="auto"/>
        <w:rPr>
          <w:sz w:val="20"/>
          <w:szCs w:val="20"/>
          <w:color w:val="auto"/>
        </w:rPr>
      </w:pPr>
      <w:r>
        <w:rPr>
          <w:rFonts w:ascii="Times New Roman" w:cs="Times New Roman" w:eastAsia="Times New Roman" w:hAnsi="Times New Roman"/>
          <w:sz w:val="17"/>
          <w:szCs w:val="17"/>
          <w:color w:val="auto"/>
        </w:rPr>
        <w:t>This Power of Attorney supersedes any Power of Attorney previously granted by the undersigned with respect to the foregoing matters and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on this 17th day of June, 2026.</w:t>
      </w: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Antonia Korsanos</w:t>
      </w:r>
    </w:p>
    <w:p>
      <w:pPr>
        <w:spacing w:after="0" w:line="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Antonia Korsanos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-123190</wp:posOffset>
            </wp:positionV>
            <wp:extent cx="2649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242" TargetMode="External"/><Relationship Id="rId14" Type="http://schemas.openxmlformats.org/officeDocument/2006/relationships/hyperlink" Target="http://www.sec.gov/cgi-bin/browse-edgar?action=getcompany&amp;CIK=0000750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2026-06-17T20:51:33Z</dcterms:created>
  <dcterms:modified xsi:type="dcterms:W3CDTF">2026-06-17T20:51:33Z</dcterms:modified>
</cp:coreProperties>
</file>