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413d1_8k.htm"/>
      <w:bookmarkStart w:id="1" w:name="kstm262341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pPr>
      <w:r>
        <w:rPr>
          <w:b/>
          <w:sz w:val="36"/>
        </w:rPr>
        <w:t>UNITED STATES</w:t>
        <w:br/>
        <w:t>SECURITIES AND EXCHANGE COMMISSION</w:t>
      </w:r>
      <w:r>
        <w:rPr/>
        <w:br/>
      </w:r>
      <w:r>
        <w:rPr>
          <w:b/>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August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bookmarkStart w:id="4" w:name="xdx_90C_edei--EntityRegistrantName_c2026"/>
      <w:bookmarkEnd w:id="4"/>
      <w:r>
        <w:rPr>
          <w:rFonts w:ascii="Times New Roman;Times;Serif" w:hAnsi="Times New Roman;Times;Serif"/>
          <w:b/>
          <w:i w:val="false"/>
          <w:caps/>
          <w:sz w:val="36"/>
        </w:rPr>
        <w:t>Light &amp; Wonder,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60" w:type="dxa"/>
        <w:jc w:val="left"/>
        <w:tblInd w:w="0" w:type="dxa"/>
        <w:tblLayout w:type="fixed"/>
        <w:tblCellMar>
          <w:top w:w="0" w:type="dxa"/>
          <w:left w:w="0" w:type="dxa"/>
          <w:bottom w:w="0" w:type="dxa"/>
          <w:right w:w="0" w:type="dxa"/>
        </w:tblCellMar>
      </w:tblPr>
      <w:tblGrid>
        <w:gridCol w:w="2375"/>
        <w:gridCol w:w="2210"/>
        <w:gridCol w:w="1775"/>
      </w:tblGrid>
      <w:tr>
        <w:trPr/>
        <w:tc>
          <w:tcPr>
            <w:tcW w:w="2375" w:type="dxa"/>
            <w:tcBorders/>
            <w:vAlign w:val="center"/>
          </w:tcPr>
          <w:p>
            <w:pPr>
              <w:pStyle w:val="TableContents"/>
              <w:bidi w:val="0"/>
              <w:spacing w:before="0" w:after="283"/>
              <w:jc w:val="center"/>
              <w:rPr>
                <w:rFonts w:ascii="Times New Roman;Times;Serif" w:hAnsi="Times New Roman;Times;Serif"/>
                <w:b/>
                <w:sz w:val="20"/>
              </w:rPr>
            </w:pPr>
            <w:bookmarkStart w:id="5" w:name="xdx_900_edei--EntityIncorporationStateCo"/>
            <w:bookmarkEnd w:id="5"/>
            <w:r>
              <w:rPr>
                <w:rFonts w:ascii="Times New Roman;Times;Serif" w:hAnsi="Times New Roman;Times;Serif"/>
                <w:b/>
                <w:sz w:val="20"/>
              </w:rPr>
              <w:t>Nevada</w:t>
            </w:r>
          </w:p>
        </w:tc>
        <w:tc>
          <w:tcPr>
            <w:tcW w:w="2210" w:type="dxa"/>
            <w:tcBorders/>
            <w:vAlign w:val="center"/>
          </w:tcPr>
          <w:p>
            <w:pPr>
              <w:pStyle w:val="TableContents"/>
              <w:bidi w:val="0"/>
              <w:spacing w:before="0" w:after="283"/>
              <w:jc w:val="center"/>
              <w:rPr>
                <w:b/>
                <w:sz w:val="20"/>
              </w:rPr>
            </w:pPr>
            <w:bookmarkStart w:id="6" w:name="xdx_90A_edei--EntityFileNumber_c20260817"/>
            <w:bookmarkEnd w:id="6"/>
            <w:r>
              <w:rPr>
                <w:b/>
                <w:sz w:val="20"/>
              </w:rPr>
              <w:t>001-11693</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81-0422894</w:t>
            </w:r>
          </w:p>
        </w:tc>
      </w:tr>
      <w:tr>
        <w:trPr/>
        <w:tc>
          <w:tcPr>
            <w:tcW w:w="23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6601 Bermuda Road, </w:t>
      </w:r>
      <w:bookmarkStart w:id="9" w:name="xdx_908_edei--EntityAddressCityOrTown_c2"/>
      <w:bookmarkEnd w:id="9"/>
      <w:r>
        <w:rPr>
          <w:rFonts w:ascii="Times New Roman;Times;Serif" w:hAnsi="Times New Roman;Times;Serif"/>
          <w:b/>
          <w:i w:val="false"/>
          <w:caps w:val="false"/>
          <w:smallCaps w:val="false"/>
          <w:sz w:val="20"/>
        </w:rPr>
        <w:t xml:space="preserve">Las Vegas, </w:t>
      </w:r>
      <w:bookmarkStart w:id="10" w:name="xdx_90B_edei--EntityAddressStateOrProvin"/>
      <w:bookmarkEnd w:id="10"/>
      <w:r>
        <w:rPr>
          <w:rFonts w:ascii="Times New Roman;Times;Serif" w:hAnsi="Times New Roman;Times;Serif"/>
          <w:b/>
          <w:i w:val="false"/>
          <w:caps w:val="false"/>
          <w:smallCaps w:val="false"/>
          <w:sz w:val="20"/>
        </w:rPr>
        <w:t>NV</w:t>
      </w:r>
      <w:r>
        <w:rPr>
          <w:rFonts w:ascii="Times New Roman;Times;Serif" w:hAnsi="Times New Roman;Times;Serif"/>
          <w:b w:val="false"/>
          <w:i w:val="false"/>
          <w:caps w:val="false"/>
          <w:smallCaps w:val="false"/>
          <w:sz w:val="20"/>
        </w:rPr>
        <w:t xml:space="preserve"> </w:t>
      </w:r>
      <w:bookmarkStart w:id="11" w:name="xdx_90E_edei--EntityAddressPostalZipCode"/>
      <w:bookmarkEnd w:id="11"/>
      <w:r>
        <w:rPr>
          <w:rFonts w:ascii="Times New Roman;Times;Serif" w:hAnsi="Times New Roman;Times;Serif"/>
          <w:b/>
          <w:i w:val="false"/>
          <w:caps w:val="false"/>
          <w:smallCaps w:val="false"/>
          <w:sz w:val="20"/>
        </w:rPr>
        <w:t xml:space="preserve">89119 </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817__20"/>
      <w:bookmarkEnd w:id="12"/>
      <w:r>
        <w:rPr>
          <w:rFonts w:ascii="Times New Roman;Times;Serif" w:hAnsi="Times New Roman;Times;Serif"/>
          <w:b/>
          <w:i w:val="false"/>
          <w:caps w:val="false"/>
          <w:smallCaps w:val="false"/>
          <w:sz w:val="20"/>
        </w:rPr>
        <w:t xml:space="preserve">702) </w:t>
      </w:r>
      <w:bookmarkStart w:id="13" w:name="xdx_90E_edei--LocalPhoneNumber_c20260817"/>
      <w:bookmarkEnd w:id="13"/>
      <w:r>
        <w:rPr>
          <w:rFonts w:ascii="Times New Roman;Times;Serif" w:hAnsi="Times New Roman;Times;Serif"/>
          <w:b/>
          <w:i w:val="false"/>
          <w:caps w:val="false"/>
          <w:smallCaps w:val="false"/>
          <w:sz w:val="20"/>
        </w:rPr>
        <w:t xml:space="preserve">897-7150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44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F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A_edei--SolicitingMaterial_c202608"/>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7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5250" w:type="dxa"/>
        <w:jc w:val="left"/>
        <w:tblInd w:w="-10" w:type="dxa"/>
        <w:tblLayout w:type="fixed"/>
        <w:tblCellMar>
          <w:top w:w="28" w:type="dxa"/>
          <w:left w:w="60" w:type="dxa"/>
          <w:bottom w:w="28" w:type="dxa"/>
          <w:right w:w="60" w:type="dxa"/>
        </w:tblCellMar>
      </w:tblPr>
      <w:tblGrid>
        <w:gridCol w:w="1490"/>
        <w:gridCol w:w="1505"/>
        <w:gridCol w:w="2255"/>
      </w:tblGrid>
      <w:tr>
        <w:trPr/>
        <w:tc>
          <w:tcPr>
            <w:tcW w:w="149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22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 xml:space="preserve">Name of each exchange on </w:t>
              <w:br/>
              <w:t>which registered</w:t>
            </w:r>
          </w:p>
        </w:tc>
      </w:tr>
      <w:tr>
        <w:trPr/>
        <w:tc>
          <w:tcPr>
            <w:tcW w:w="149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rPr>
            </w:pPr>
            <w:r>
              <w:rPr>
                <w:b/>
              </w:rPr>
              <w:t>None</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None</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rPr>
            </w:pPr>
            <w:r>
              <w:rPr>
                <w:b/>
              </w:rPr>
              <w:t>None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3665" w:type="dxa"/>
        <w:jc w:val="left"/>
        <w:tblInd w:w="-10" w:type="dxa"/>
        <w:tblLayout w:type="fixed"/>
        <w:tblCellMar>
          <w:top w:w="30" w:type="dxa"/>
          <w:left w:w="28" w:type="dxa"/>
          <w:bottom w:w="30" w:type="dxa"/>
          <w:right w:w="28" w:type="dxa"/>
        </w:tblCellMar>
      </w:tblPr>
      <w:tblGrid>
        <w:gridCol w:w="3665"/>
      </w:tblGrid>
      <w:tr>
        <w:trPr/>
        <w:tc>
          <w:tcPr>
            <w:tcW w:w="36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r>
      <w:tr>
        <w:trPr/>
        <w:tc>
          <w:tcPr>
            <w:tcW w:w="3665" w:type="dxa"/>
            <w:tcBorders/>
            <w:tcMar>
              <w:top w:w="0" w:type="dxa"/>
              <w:left w:w="0" w:type="dxa"/>
              <w:bottom w:w="0" w:type="dxa"/>
              <w:right w:w="0" w:type="dxa"/>
            </w:tcMar>
            <w:vAlign w:val="center"/>
          </w:tcPr>
          <w:p>
            <w:pPr>
              <w:pStyle w:val="TableContents"/>
              <w:bidi w:val="0"/>
              <w:spacing w:before="0" w:after="283"/>
              <w:jc w:val="center"/>
              <w:rPr>
                <w:b/>
                <w:sz w:val="20"/>
              </w:rPr>
            </w:pPr>
            <w:bookmarkStart w:id="18" w:name="xdx_901_edei--Security12gTitle_c20260817"/>
            <w:bookmarkEnd w:id="18"/>
            <w:r>
              <w:rPr>
                <w:b/>
                <w:sz w:val="20"/>
              </w:rPr>
              <w:t>Common stock, par value $0.001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bookmarkStart w:id="19" w:name="xdx_907_edei--EntityEmergingGrowthCompan"/>
      <w:bookmarkEnd w:id="19"/>
      <w:r>
        <w:rPr>
          <w:caps w:val="false"/>
          <w:smallCaps w:val="false"/>
        </w:rPr>
        <w:t>☐     </w:t>
      </w:r>
      <w:r>
        <w:rPr>
          <w:rFonts w:ascii="Times New Roman;Times;Serif" w:hAnsi="Times New Roman;Times;Serif"/>
          <w:b w:val="false"/>
          <w:i w:val="false"/>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(U.S. time) (August 18, 2026 Australia time), Light &amp; Wonder, Inc. (the “Company”, “we” or “our”) lodged an announcement with the Australian Securities Exchange (“Announcement”) for receipt of notice from two members of the Company’s Board of Directors, Jamie Odell (Chair) and Toni Korsanos (Vice Chair), that they intend to exercise a portion of their vested options. A copy of the Announcement is furnished as Exhibit 99.1 to this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Item 7.01 as well as in Exhibit 99.1 is furnished and shall not be deemed to be “filed” for purposes of Section 18 of the Securities Exchange Act of 1934, as amended (the “Exchange Act”), or otherwise subject to the liabilities of that section, and such information shall not be deemed to be incorporated by reference into any of the Company’s filings under the Securities Act of 1933, as amended, or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Forward-Looking Statements</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contains forward-looking statements within the meaning of the U.S. Private Securities Litigation Reform Act of 1995. These statements are based on our expectations as of today and are not guarantees of future performance. All forward-looking statements are subject to risks and uncertainties that could cause actual results to differ materially. Refer to our filings with the U.S. Securities and Exchange Commission and lodgements with the Australian Securities Exchange for further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65"/>
        <w:gridCol w:w="60"/>
        <w:gridCol w:w="8975"/>
      </w:tblGrid>
      <w:tr>
        <w:trPr/>
        <w:tc>
          <w:tcPr>
            <w:tcW w:w="6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op w:val="single" w:sz="8" w:space="0" w:color="000000"/>
            </w:tcBorders>
            <w:tcMar>
              <w:top w:w="28" w:type="dxa"/>
            </w:tcMar>
            <w:vAlign w:val="center"/>
          </w:tcPr>
          <w:p>
            <w:pPr>
              <w:pStyle w:val="TableContents"/>
              <w:bidi w:val="0"/>
              <w:spacing w:before="0" w:after="283"/>
              <w:jc w:val="center"/>
              <w:rPr/>
            </w:pPr>
            <w:hyperlink w:anchor="tm2623413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8975" w:type="dxa"/>
            <w:tcBorders>
              <w:top w:val="single" w:sz="8" w:space="0" w:color="000000"/>
            </w:tcBorders>
            <w:tcMar>
              <w:top w:w="28" w:type="dxa"/>
            </w:tcMar>
            <w:vAlign w:val="center"/>
          </w:tcPr>
          <w:p>
            <w:pPr>
              <w:pStyle w:val="TableContents"/>
              <w:bidi w:val="0"/>
              <w:spacing w:before="0" w:after="283"/>
              <w:jc w:val="left"/>
              <w:rPr/>
            </w:pPr>
            <w:hyperlink w:anchor="tm2623413d1_ex99-1.htm">
              <w:r>
                <w:rPr>
                  <w:rStyle w:val="InternetLink"/>
                  <w:rFonts w:ascii="Times New Roman;Times;Serif" w:hAnsi="Times New Roman;Times;Serif"/>
                  <w:sz w:val="20"/>
                </w:rPr>
                <w:t>Announcement dated August 18, 2026 (Australia time).</w:t>
              </w:r>
            </w:hyperlink>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1970"/>
        <w:gridCol w:w="545"/>
        <w:gridCol w:w="5720"/>
      </w:tblGrid>
      <w:tr>
        <w:trPr/>
        <w:tc>
          <w:tcPr>
            <w:tcW w:w="1970" w:type="dxa"/>
            <w:tcBorders/>
            <w:vAlign w:val="center"/>
          </w:tcPr>
          <w:p>
            <w:pPr>
              <w:pStyle w:val="TableContents"/>
              <w:bidi w:val="0"/>
              <w:spacing w:before="0" w:after="283"/>
              <w:jc w:val="left"/>
              <w:rPr/>
            </w:pPr>
            <w:r>
              <w:rPr/>
              <w:t> </w:t>
            </w:r>
          </w:p>
        </w:tc>
        <w:tc>
          <w:tcPr>
            <w:tcW w:w="62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LIGHT &amp; WONDER, INC.</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17,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Susan Dawson</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Dawson</w:t>
            </w:r>
          </w:p>
        </w:tc>
      </w:tr>
      <w:tr>
        <w:trPr/>
        <w:tc>
          <w:tcPr>
            <w:tcW w:w="19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0" w:name="tm2623413d1_ex99-1.htm"/>
      <w:bookmarkStart w:id="21" w:name="kstm2623413d1_ex991"/>
      <w:bookmarkEnd w:id="20"/>
      <w:bookmarkEnd w:id="21"/>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4192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19225" cy="6000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Notifications – Exercise of Vested 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Sydney, 18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&amp; Wonder, Inc. (‘Light &amp; Wonder’ or ‘the Company’) advises that Jamie Odell (Chairman) and Toni Korsanos (Vice Chair) have each notified the Company that they intend to exercise a portion of their vested options on a cashless basis pursuant to Company's 2003 Incentive Compensation Plan (the ‘Equity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these vested options have an expiry date of 28 March 2027 and therefore limited trading windows remain available pursuant to the Company’s Securities Trading Policy prior to expiry.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Cashless Exercise Mechanism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Equity Plan, holders of vested options may elect to exercise options on a cashless basis. This mechanism enables holders to exercise vested options and receive CDIs equal to the value of the positive difference between the exercise price and the CDI price at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CDIs required to satisfy the exercise will be transferred from existing quoted CDIs held in the Light &amp; Wonder Employee Share Trust, no further dilution will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a portion of CDIs to Cover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Jamie Odell and Toni Korsanos are required to recognise assessable income as a result of the exercise of the vested options. To fund the income tax liability, a portion of the net CDIs received by each of Jamie Odell and Toni Korsanos (not exceeding the value of the tax liability) will be sold in accordance with the terms of the Company's Securities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Appendix 3Y – Change of Director's Interest Notices (one for each Director) will be lodged following completion of the exercise process.</w:t>
      </w:r>
    </w:p>
    <w:p>
      <w:pPr>
        <w:pStyle w:val="TextBody"/>
        <w:pBdr>
          <w:bottom w:val="single" w:sz="8" w:space="1" w:color="000000"/>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Authorised for lodgement by the Company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Light &amp; Wonder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Light &amp; Wonder, Inc. is a leading cross-platform global games company. Through our three unique, yet highly complementary business segments, we deliver unforgettable experiences by combining the exceptional talents of our 6,500+ member team, with a deep understanding of our customers and players. We create immersive content that forges lasting connections with players, wherever they choose to engage. At Light &amp; Wonder, it’s all about the games. The Company is committed to the highest standards of integrity, from promoting player responsibility to implementing sustainable practices. To learn more visit </w:t>
      </w:r>
      <w:r>
        <w:rPr>
          <w:rFonts w:ascii="Times New Roman;Times;Serif" w:hAnsi="Times New Roman;Times;Serif"/>
          <w:b w:val="false"/>
          <w:i w:val="false"/>
          <w:caps w:val="false"/>
          <w:smallCaps w:val="false"/>
          <w:sz w:val="20"/>
          <w:u w:val="single"/>
        </w:rPr>
        <w:t>www.lnw.com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Contacts:</w:t>
      </w:r>
    </w:p>
    <w:p>
      <w:pPr>
        <w:pStyle w:val="TextBody"/>
        <w:bidi w:val="0"/>
        <w:spacing w:before="0" w:after="0"/>
        <w:ind w:left="0" w:right="0" w:hanging="0"/>
        <w:jc w:val="left"/>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b/>
                <w:sz w:val="20"/>
              </w:rPr>
            </w:pPr>
            <w:r>
              <w:rPr>
                <w:b/>
                <w:sz w:val="20"/>
              </w:rPr>
              <w:t>Investor Relations</w:t>
            </w:r>
          </w:p>
        </w:tc>
      </w:tr>
      <w:tr>
        <w:trPr/>
        <w:tc>
          <w:tcPr>
            <w:tcW w:w="3590" w:type="dxa"/>
            <w:tcBorders/>
            <w:vAlign w:val="center"/>
          </w:tcPr>
          <w:p>
            <w:pPr>
              <w:pStyle w:val="TableContents"/>
              <w:bidi w:val="0"/>
              <w:spacing w:before="0" w:after="283"/>
              <w:jc w:val="left"/>
              <w:rPr>
                <w:sz w:val="20"/>
              </w:rPr>
            </w:pPr>
            <w:r>
              <w:rPr>
                <w:sz w:val="20"/>
              </w:rPr>
              <w:t>Rohan Gallagher</w:t>
            </w:r>
          </w:p>
        </w:tc>
      </w:tr>
      <w:tr>
        <w:trPr/>
        <w:tc>
          <w:tcPr>
            <w:tcW w:w="3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EVP, Global Chief Corporate Affairs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ir@lnw.com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1017</Words>
  <Characters>5530</Characters>
  <CharactersWithSpaces>6562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