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Throsby Timothy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LIGHT &amp; WONDER,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6601 BERMUDA ROAD</w:t>
      </w:r>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89119</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8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Light &amp; Wonder,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ASX:LNW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0"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06/10/2026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2,391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44,473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2,391</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60" w:firstLine="1"/>
        <w:spacing w:after="0" w:line="290"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stock units granted on June 10, 2025. The award has fully vested. Each restricted stock unit converted into a share of common stock on a one-for-one basis.</w:t>
      </w:r>
    </w:p>
    <w:p>
      <w:pPr>
        <w:spacing w:after="0" w:line="43" w:lineRule="exact"/>
        <w:rPr>
          <w:rFonts w:ascii="Times New Roman" w:cs="Times New Roman" w:eastAsia="Times New Roman" w:hAnsi="Times New Roman"/>
          <w:sz w:val="13"/>
          <w:szCs w:val="13"/>
          <w:color w:val="008000"/>
        </w:rPr>
      </w:pPr>
    </w:p>
    <w:p>
      <w:pPr>
        <w:ind w:left="40" w:right="16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scheduled to vest on the earlier of (a) the date of the issuer's 2027 annual meeting of stockholders and (b) June 10, 2027. Each unit converts into a share of common stock on a one-for-one basis.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Sweta Gabhawala, attorney-  </w:t>
      </w:r>
      <w:r>
        <w:rPr>
          <w:rFonts w:ascii="Times New Roman" w:cs="Times New Roman" w:eastAsia="Times New Roman" w:hAnsi="Times New Roman"/>
          <w:sz w:val="31"/>
          <w:szCs w:val="31"/>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Timothy Throsby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195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POWER OF ATTORNEY</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Susan Dawson, John Cuddihy and Sweta Gabhawala, signing singly, the undersigned’s true and lawful attorneys-in-fact to:</w:t>
      </w:r>
    </w:p>
    <w:p>
      <w:pPr>
        <w:spacing w:after="0" w:line="153" w:lineRule="exact"/>
        <w:rPr>
          <w:sz w:val="20"/>
          <w:szCs w:val="20"/>
          <w:color w:val="auto"/>
        </w:rPr>
      </w:pPr>
    </w:p>
    <w:p>
      <w:pPr>
        <w:jc w:val="both"/>
        <w:ind w:left="620" w:right="46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and/or director of Light &amp; Wonder, Inc. (the “Company”), Forms 3, 4 and 5 in accordance with Section 16(a) of the Securities Exchange Act of 1934, as amended (the “Exchange Act”), and the rules thereunder;</w:t>
      </w:r>
    </w:p>
    <w:p>
      <w:pPr>
        <w:spacing w:after="0" w:line="165" w:lineRule="exact"/>
        <w:rPr>
          <w:rFonts w:ascii="Times New Roman" w:cs="Times New Roman" w:eastAsia="Times New Roman" w:hAnsi="Times New Roman"/>
          <w:sz w:val="17"/>
          <w:szCs w:val="17"/>
          <w:color w:val="auto"/>
        </w:rPr>
      </w:pPr>
    </w:p>
    <w:p>
      <w:pPr>
        <w:jc w:val="both"/>
        <w:ind w:left="620" w:right="48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and 5, and any amendments thereto, and timely file such form or report with the Securities and Exchange Commission and any stock exchange or similar authority; and</w:t>
      </w:r>
    </w:p>
    <w:p>
      <w:pPr>
        <w:spacing w:after="0" w:line="165" w:lineRule="exact"/>
        <w:rPr>
          <w:rFonts w:ascii="Times New Roman" w:cs="Times New Roman" w:eastAsia="Times New Roman" w:hAnsi="Times New Roman"/>
          <w:sz w:val="17"/>
          <w:szCs w:val="17"/>
          <w:color w:val="auto"/>
        </w:rPr>
      </w:pPr>
    </w:p>
    <w:p>
      <w:pPr>
        <w:jc w:val="both"/>
        <w:ind w:left="620" w:right="460" w:hanging="309"/>
        <w:spacing w:after="0" w:line="26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4" w:lineRule="exact"/>
        <w:rPr>
          <w:sz w:val="20"/>
          <w:szCs w:val="20"/>
          <w:color w:val="auto"/>
        </w:rPr>
      </w:pPr>
    </w:p>
    <w:p>
      <w:pPr>
        <w:jc w:val="both"/>
        <w:ind w:right="20" w:firstLine="617"/>
        <w:spacing w:after="0" w:line="269" w:lineRule="auto"/>
        <w:rPr>
          <w:sz w:val="20"/>
          <w:szCs w:val="20"/>
          <w:color w:val="auto"/>
        </w:rPr>
      </w:pPr>
      <w:r>
        <w:rPr>
          <w:rFonts w:ascii="Times New Roman" w:cs="Times New Roman" w:eastAsia="Times New Roman" w:hAnsi="Times New Roman"/>
          <w:sz w:val="17"/>
          <w:szCs w:val="17"/>
          <w:color w:val="auto"/>
        </w:rPr>
        <w:t>This Power of Attorney supersedes any Power of Attorney previously granted by the undersigned with respect to the foregoing matters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on this 12th day of June, 2026.</w:t>
      </w: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Timothy Throsby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17145</wp:posOffset>
            </wp:positionV>
            <wp:extent cx="2644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Timothy Throsby</w:t>
      </w: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7186" TargetMode="External"/><Relationship Id="rId14" Type="http://schemas.openxmlformats.org/officeDocument/2006/relationships/hyperlink" Target="http://www.sec.gov/cgi-bin/browse-edgar?action=getcompany&amp;CIK=0000750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2026-06-12T20:56:13Z</dcterms:created>
  <dcterms:modified xsi:type="dcterms:W3CDTF">2026-06-12T20:56:13Z</dcterms:modified>
</cp:coreProperties>
</file>