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TO RULE 13d-1(a) AND AMENDMENTS THERETO FILED PURSUANT TO RULE 13d-2(a)</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AUTOTOTE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CLASS A 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053323 10 1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Kenneth Liang</w:t>
      </w:r>
    </w:p>
    <w:p>
      <w:pPr>
        <w:ind w:left="2320"/>
        <w:spacing w:after="0" w:line="238" w:lineRule="auto"/>
        <w:rPr>
          <w:sz w:val="20"/>
          <w:szCs w:val="20"/>
          <w:color w:val="auto"/>
        </w:rPr>
      </w:pPr>
      <w:r>
        <w:rPr>
          <w:rFonts w:ascii="Courier New" w:cs="Courier New" w:eastAsia="Courier New" w:hAnsi="Courier New"/>
          <w:sz w:val="18"/>
          <w:szCs w:val="18"/>
          <w:color w:val="auto"/>
        </w:rPr>
        <w:t>Managing Director and General Counsel</w:t>
      </w:r>
    </w:p>
    <w:p>
      <w:pPr>
        <w:ind w:left="2640"/>
        <w:spacing w:after="0"/>
        <w:rPr>
          <w:sz w:val="20"/>
          <w:szCs w:val="20"/>
          <w:color w:val="auto"/>
        </w:rPr>
      </w:pPr>
      <w:r>
        <w:rPr>
          <w:rFonts w:ascii="Courier New" w:cs="Courier New" w:eastAsia="Courier New" w:hAnsi="Courier New"/>
          <w:sz w:val="18"/>
          <w:szCs w:val="18"/>
          <w:color w:val="auto"/>
        </w:rPr>
        <w:t>Oaktree Capital Management, LLC</w:t>
      </w:r>
    </w:p>
    <w:p>
      <w:pPr>
        <w:ind w:left="2440"/>
        <w:spacing w:after="0" w:line="237" w:lineRule="auto"/>
        <w:rPr>
          <w:sz w:val="20"/>
          <w:szCs w:val="20"/>
          <w:color w:val="auto"/>
        </w:rPr>
      </w:pPr>
      <w:r>
        <w:rPr>
          <w:rFonts w:ascii="Courier New" w:cs="Courier New" w:eastAsia="Courier New" w:hAnsi="Courier New"/>
          <w:sz w:val="18"/>
          <w:szCs w:val="18"/>
          <w:color w:val="auto"/>
        </w:rPr>
        <w:t>333 South Grand Avenue, 28th Floor</w:t>
      </w:r>
    </w:p>
    <w:p>
      <w:pPr>
        <w:ind w:left="2740"/>
        <w:spacing w:after="0" w:line="238" w:lineRule="auto"/>
        <w:rPr>
          <w:sz w:val="20"/>
          <w:szCs w:val="20"/>
          <w:color w:val="auto"/>
        </w:rPr>
      </w:pPr>
      <w:r>
        <w:rPr>
          <w:rFonts w:ascii="Courier New" w:cs="Courier New" w:eastAsia="Courier New" w:hAnsi="Courier New"/>
          <w:sz w:val="18"/>
          <w:szCs w:val="18"/>
          <w:color w:val="auto"/>
        </w:rPr>
        <w:t>Los Angeles, California 90071</w:t>
      </w:r>
    </w:p>
    <w:p>
      <w:pPr>
        <w:ind w:left="4120" w:hanging="636"/>
        <w:spacing w:after="0"/>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830-6300</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SEPTEMBER 6,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 240.13d-1(e), 240.13d-l(f) or 240.13d-1(g), check the following box. |_|</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240.13d-7(b) for other parties to whom copies are to be sent.</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9 Pages)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027"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053323 10 1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820" w:val="left"/>
          <w:tab w:leader="none" w:pos="1240" w:val="left"/>
          <w:tab w:leader="none" w:pos="1680" w:val="left"/>
          <w:tab w:leader="none" w:pos="2100" w:val="left"/>
        </w:tabs>
        <w:rPr>
          <w:sz w:val="20"/>
          <w:szCs w:val="20"/>
          <w:color w:val="auto"/>
        </w:rPr>
      </w:pPr>
      <w:r>
        <w:rPr>
          <w:rFonts w:ascii="Courier New" w:cs="Courier New" w:eastAsia="Courier New" w:hAnsi="Courier New"/>
          <w:sz w:val="18"/>
          <w:szCs w:val="18"/>
          <w:color w:val="auto"/>
        </w:rPr>
        <w:t>PAGE</w:t>
        <w:tab/>
        <w:t>2</w:t>
        <w:tab/>
        <w:t>OF</w:t>
        <w:tab/>
        <w:t>10</w:t>
      </w:r>
      <w:r>
        <w:rPr>
          <w:sz w:val="20"/>
          <w:szCs w:val="20"/>
          <w:color w:val="auto"/>
        </w:rPr>
        <w:tab/>
      </w:r>
      <w:r>
        <w:rPr>
          <w:rFonts w:ascii="Courier New" w:cs="Courier New" w:eastAsia="Courier New" w:hAnsi="Courier New"/>
          <w:sz w:val="16"/>
          <w:szCs w:val="16"/>
          <w:color w:val="auto"/>
        </w:rPr>
        <w:t>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60" w:space="720"/>
            <w:col w:w="4739"/>
          </w:cols>
          <w:pgMar w:left="240" w:top="1128"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580" w:hanging="940"/>
        <w:spacing w:after="0" w:line="238"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Oaktree Capital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9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w w:val="95"/>
              </w:rPr>
              <w:t>(a)|_|</w:t>
            </w:r>
          </w:p>
        </w:tc>
      </w:tr>
      <w:tr>
        <w:trPr>
          <w:trHeight w:val="203"/>
        </w:trPr>
        <w:tc>
          <w:tcPr>
            <w:tcW w:w="5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(b)|X|</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17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00" w:lineRule="exact"/>
        <w:rPr>
          <w:sz w:val="20"/>
          <w:szCs w:val="20"/>
          <w:color w:val="auto"/>
        </w:rPr>
      </w:pPr>
    </w:p>
    <w:p>
      <w:pPr>
        <w:sectPr>
          <w:pgSz w:w="11900" w:h="16838" w:orient="portrait"/>
          <w:cols w:equalWidth="0" w:num="3">
            <w:col w:w="1500" w:space="720"/>
            <w:col w:w="100" w:space="540"/>
            <w:col w:w="7359"/>
          </w:cols>
          <w:pgMar w:left="240" w:top="1128" w:right="1440" w:bottom="1440" w:gutter="0" w:footer="0" w:header="0"/>
          <w:type w:val="continuous"/>
        </w:sectPr>
      </w:pPr>
    </w:p>
    <w:p>
      <w:pPr>
        <w:spacing w:after="0" w:line="18"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BENEFICIALLY</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8"/>
          <w:szCs w:val="18"/>
          <w:color w:val="auto"/>
        </w:rPr>
        <w:t>6,369,300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sectPr>
          <w:pgSz w:w="11900" w:h="16838" w:orient="portrait"/>
          <w:cols w:equalWidth="0" w:num="2">
            <w:col w:w="1580" w:space="420"/>
            <w:col w:w="8219"/>
          </w:cols>
          <w:pgMar w:left="240" w:top="1128"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SHARED VOTING POWER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OWNED BY</w:t>
      </w:r>
    </w:p>
    <w:p>
      <w:pPr>
        <w:sectPr>
          <w:pgSz w:w="11900" w:h="16838" w:orient="portrait"/>
          <w:cols w:equalWidth="0" w:num="1">
            <w:col w:w="10219"/>
          </w:cols>
          <w:pgMar w:left="240" w:top="1128" w:right="1440" w:bottom="1440" w:gutter="0" w:footer="0" w:header="0"/>
          <w:type w:val="continuous"/>
        </w:sect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ind w:left="86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SOLE DISPOSITIVE POWER</w:t>
      </w:r>
    </w:p>
    <w:p>
      <w:pPr>
        <w:spacing w:after="0" w:line="4" w:lineRule="exact"/>
        <w:rPr>
          <w:sz w:val="20"/>
          <w:szCs w:val="20"/>
          <w:color w:val="auto"/>
        </w:rPr>
      </w:pPr>
    </w:p>
    <w:p>
      <w:pPr>
        <w:sectPr>
          <w:pgSz w:w="11900" w:h="16838" w:orient="portrait"/>
          <w:cols w:equalWidth="0" w:num="2">
            <w:col w:w="1280" w:space="720"/>
            <w:col w:w="8219"/>
          </w:cols>
          <w:pgMar w:left="240" w:top="1128"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REPORTING</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8"/>
          <w:szCs w:val="18"/>
          <w:color w:val="auto"/>
        </w:rPr>
        <w:t>6,369,300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ectPr>
          <w:pgSz w:w="11900" w:h="16838" w:orient="portrait"/>
          <w:cols w:equalWidth="0" w:num="2">
            <w:col w:w="1480" w:space="520"/>
            <w:col w:w="8219"/>
          </w:cols>
          <w:pgMar w:left="240" w:top="1128" w:right="1440" w:bottom="1440" w:gutter="0" w:footer="0" w:header="0"/>
          <w:type w:val="continuous"/>
        </w:sectPr>
      </w:pPr>
    </w:p>
    <w:p>
      <w:pPr>
        <w:ind w:left="2860" w:right="4839" w:hanging="640"/>
        <w:spacing w:after="0" w:line="357"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6,369,300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580" w:right="20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15.86%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IA, OO</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28"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053323 10 1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820" w:val="left"/>
          <w:tab w:leader="none" w:pos="1240" w:val="left"/>
          <w:tab w:leader="none" w:pos="1680" w:val="left"/>
          <w:tab w:leader="none" w:pos="2100" w:val="left"/>
        </w:tabs>
        <w:rPr>
          <w:sz w:val="20"/>
          <w:szCs w:val="20"/>
          <w:color w:val="auto"/>
        </w:rPr>
      </w:pPr>
      <w:r>
        <w:rPr>
          <w:rFonts w:ascii="Courier New" w:cs="Courier New" w:eastAsia="Courier New" w:hAnsi="Courier New"/>
          <w:sz w:val="18"/>
          <w:szCs w:val="18"/>
          <w:color w:val="auto"/>
        </w:rPr>
        <w:t>PAGE</w:t>
        <w:tab/>
        <w:t>3</w:t>
        <w:tab/>
        <w:t>OF</w:t>
        <w:tab/>
        <w:t>10</w:t>
      </w:r>
      <w:r>
        <w:rPr>
          <w:sz w:val="20"/>
          <w:szCs w:val="20"/>
          <w:color w:val="auto"/>
        </w:rPr>
        <w:tab/>
      </w:r>
      <w:r>
        <w:rPr>
          <w:rFonts w:ascii="Courier New" w:cs="Courier New" w:eastAsia="Courier New" w:hAnsi="Courier New"/>
          <w:sz w:val="16"/>
          <w:szCs w:val="16"/>
          <w:color w:val="auto"/>
        </w:rPr>
        <w:t>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60" w:space="720"/>
            <w:col w:w="4739"/>
          </w:cols>
          <w:pgMar w:left="240" w:top="1128"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580" w:hanging="940"/>
        <w:spacing w:after="0" w:line="238"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OCM Opportunities Fund,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9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w w:val="95"/>
              </w:rPr>
              <w:t>(a)|_|</w:t>
            </w:r>
          </w:p>
        </w:tc>
      </w:tr>
      <w:tr>
        <w:trPr>
          <w:trHeight w:val="203"/>
        </w:trPr>
        <w:tc>
          <w:tcPr>
            <w:tcW w:w="5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(b)|X|</w:t>
            </w: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OO, WC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17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NUMBER OF</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4,785,492</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4,785,492</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4,785,492</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580" w:right="20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11.92%</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28"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SCHEDULE 13D</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053323 10 1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820" w:val="left"/>
          <w:tab w:leader="none" w:pos="1240" w:val="left"/>
          <w:tab w:leader="none" w:pos="1680" w:val="left"/>
          <w:tab w:leader="none" w:pos="2100" w:val="left"/>
        </w:tabs>
        <w:rPr>
          <w:sz w:val="20"/>
          <w:szCs w:val="20"/>
          <w:color w:val="auto"/>
        </w:rPr>
      </w:pPr>
      <w:r>
        <w:rPr>
          <w:rFonts w:ascii="Courier New" w:cs="Courier New" w:eastAsia="Courier New" w:hAnsi="Courier New"/>
          <w:sz w:val="18"/>
          <w:szCs w:val="18"/>
          <w:color w:val="auto"/>
        </w:rPr>
        <w:t>PAGE</w:t>
        <w:tab/>
        <w:t>4</w:t>
        <w:tab/>
        <w:t>OF</w:t>
        <w:tab/>
        <w:t>10</w:t>
      </w:r>
      <w:r>
        <w:rPr>
          <w:sz w:val="20"/>
          <w:szCs w:val="20"/>
          <w:color w:val="auto"/>
        </w:rPr>
        <w:tab/>
      </w:r>
      <w:r>
        <w:rPr>
          <w:rFonts w:ascii="Courier New" w:cs="Courier New" w:eastAsia="Courier New" w:hAnsi="Courier New"/>
          <w:sz w:val="16"/>
          <w:szCs w:val="16"/>
          <w:color w:val="auto"/>
        </w:rPr>
        <w:t>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580" w:hanging="940"/>
        <w:spacing w:after="0" w:line="238"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OCM Principal Opportunities Fund,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9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w w:val="95"/>
              </w:rPr>
              <w:t>(a)|_|</w:t>
            </w:r>
          </w:p>
        </w:tc>
      </w:tr>
      <w:tr>
        <w:trPr>
          <w:trHeight w:val="203"/>
        </w:trPr>
        <w:tc>
          <w:tcPr>
            <w:tcW w:w="5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5"/>
              </w:rPr>
              <w:t>(b)|X|</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OO, WC</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right="177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ITEMS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NUMBER OF</w:t>
            </w: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1,435,800</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REPORTING</w:t>
            </w:r>
          </w:p>
        </w:tc>
        <w:tc>
          <w:tcPr>
            <w:tcW w:w="1000" w:type="dxa"/>
            <w:vAlign w:val="bottom"/>
          </w:tcPr>
          <w:p>
            <w:pPr>
              <w:spacing w:after="0"/>
              <w:rPr>
                <w:sz w:val="24"/>
                <w:szCs w:val="24"/>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1,435,800</w:t>
            </w:r>
          </w:p>
        </w:tc>
      </w:tr>
      <w:tr>
        <w:trPr>
          <w:trHeight w:val="203"/>
        </w:trPr>
        <w:tc>
          <w:tcPr>
            <w:tcW w:w="148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1,435,800</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580" w:right="209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3.58%</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23" w:right="1440" w:bottom="1440" w:gutter="0" w:footer="0" w:header="0"/>
          <w:type w:val="continuous"/>
        </w:sectPr>
      </w:pPr>
    </w:p>
    <w:bookmarkStart w:id="4" w:name="page5"/>
    <w:bookmarkEnd w:id="4"/>
    <w:p>
      <w:pPr>
        <w:ind w:left="5600"/>
        <w:spacing w:after="0"/>
        <w:tabs>
          <w:tab w:leader="none" w:pos="6200" w:val="left"/>
          <w:tab w:leader="none" w:pos="6620" w:val="left"/>
          <w:tab w:leader="none" w:pos="7040" w:val="left"/>
          <w:tab w:leader="none" w:pos="7460" w:val="left"/>
        </w:tabs>
        <w:rPr>
          <w:sz w:val="20"/>
          <w:szCs w:val="20"/>
          <w:color w:val="auto"/>
        </w:rPr>
      </w:pPr>
      <w:r>
        <w:rPr>
          <w:rFonts w:ascii="Courier New" w:cs="Courier New" w:eastAsia="Courier New" w:hAnsi="Courier New"/>
          <w:sz w:val="18"/>
          <w:szCs w:val="18"/>
          <w:color w:val="auto"/>
        </w:rPr>
        <w:t>PAGE</w:t>
        <w:tab/>
        <w:t>5</w:t>
      </w:r>
      <w:r>
        <w:rPr>
          <w:sz w:val="20"/>
          <w:szCs w:val="20"/>
          <w:color w:val="auto"/>
        </w:rPr>
        <w:tab/>
      </w:r>
      <w:r>
        <w:rPr>
          <w:rFonts w:ascii="Courier New" w:cs="Courier New" w:eastAsia="Courier New" w:hAnsi="Courier New"/>
          <w:sz w:val="18"/>
          <w:szCs w:val="18"/>
          <w:color w:val="auto"/>
        </w:rPr>
        <w:t>OF</w:t>
        <w:tab/>
        <w:t>10</w:t>
        <w:tab/>
        <w:t>PAGES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Schedule 13D relates to the Class A Common Stock, par value $0.01 per share ("Common Stock"), of Autotote Corporation, a Delaware corporation (the "Issuer"). The address of the principal executive office of the Issuer is 750 Lexington Avenue, 25th Floor, New York, New York 10022.</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13D is filed on behalf of :</w:t>
      </w:r>
    </w:p>
    <w:p>
      <w:pPr>
        <w:spacing w:after="0" w:line="207" w:lineRule="exact"/>
        <w:rPr>
          <w:sz w:val="20"/>
          <w:szCs w:val="20"/>
          <w:color w:val="auto"/>
        </w:rPr>
      </w:pPr>
    </w:p>
    <w:p>
      <w:pPr>
        <w:ind w:left="1900" w:right="2319" w:hanging="944"/>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Oaktree Capital Management, LLC, a California limited liability company ("Oaktree"), in its capacity as general partner of the Opportunities Fund and the Principal Opportunities Fund (see below);</w:t>
      </w:r>
    </w:p>
    <w:p>
      <w:pPr>
        <w:spacing w:after="0" w:line="207"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OCM Opportunities Fund, L.P., a Delaware limited partnership (the "Opportunities Fund"); and</w:t>
      </w:r>
    </w:p>
    <w:p>
      <w:pPr>
        <w:spacing w:after="0" w:line="208" w:lineRule="exact"/>
        <w:rPr>
          <w:rFonts w:ascii="Courier New" w:cs="Courier New" w:eastAsia="Courier New" w:hAnsi="Courier New"/>
          <w:sz w:val="18"/>
          <w:szCs w:val="18"/>
          <w:color w:val="auto"/>
        </w:rPr>
      </w:pPr>
    </w:p>
    <w:p>
      <w:pPr>
        <w:ind w:left="1900" w:right="1879" w:hanging="944"/>
        <w:spacing w:after="0" w:line="279" w:lineRule="auto"/>
        <w:tabs>
          <w:tab w:leader="none" w:pos="19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OCM Principal Opportunities Fund, L.P., a Delaware limited partnership (the "Principal Opportunities Fund" and, together with the Opportunities Fund, collectively, the "Funds").</w:t>
      </w:r>
    </w:p>
    <w:p>
      <w:pPr>
        <w:spacing w:after="0" w:line="17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principal business of Oaktree is providing investment advice and management services to institutional and individual investors. The Opportunities Fund is a limited partnership which generally invests in the securities and other obligations of distressed entities. The Principal Opportunities Fund is a limited partnership which generally invests in entities in which there is a potential for the fund to exercise significant influence over such entities. Oaktree is also the investment manager of a third party account (the "Oaktree Account") which invests in securities similar to those in which the Opportunities Fund invests. Based on Oaktree's relationship with the Funds and the Oaktree Account, Oaktree may be deemed to beneficially own the shares of Common Stock held by both the Funds and the Oaktree Account.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 &amp; (f)</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Oaktree is the general partner of each of the Funds. The address of the principal business and principal office for Oaktree, the Funds and the portfolio managers is 333 South Grand Avenue, 28th Floor, Los Angeles, California 90071. The members and executive officers of Oaktree and the Funds are listed below. The principal address for each member and executive officer of Oaktree and the Funds is 333 South Grand Avenue, 28th Floor, Los Angeles, California 90071. Each individual listed below is a citizen of the United States of America.</w:t>
      </w:r>
    </w:p>
    <w:p>
      <w:pPr>
        <w:sectPr>
          <w:pgSz w:w="11900" w:h="16838" w:orient="portrait"/>
          <w:cols w:equalWidth="0" w:num="1">
            <w:col w:w="10219"/>
          </w:cols>
          <w:pgMar w:left="240" w:top="919" w:right="1440" w:bottom="1440" w:gutter="0" w:footer="0" w:header="0"/>
        </w:sectPr>
      </w:pPr>
    </w:p>
    <w:bookmarkStart w:id="5" w:name="page6"/>
    <w:bookmarkEnd w:id="5"/>
    <w:p>
      <w:pPr>
        <w:spacing w:after="0" w:line="6"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PAGE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10</w:t>
        <w:tab/>
        <w:t>PAGES</w:t>
      </w:r>
    </w:p>
    <w:p>
      <w:pPr>
        <w:spacing w:after="0" w:line="200" w:lineRule="exact"/>
        <w:rPr>
          <w:sz w:val="20"/>
          <w:szCs w:val="20"/>
          <w:color w:val="auto"/>
        </w:rPr>
      </w:pPr>
    </w:p>
    <w:p>
      <w:pPr>
        <w:sectPr>
          <w:pgSz w:w="11900" w:h="16838" w:orient="portrait"/>
          <w:cols w:equalWidth="0" w:num="4">
            <w:col w:w="6020" w:space="200"/>
            <w:col w:w="100" w:space="320"/>
            <w:col w:w="220" w:space="200"/>
            <w:col w:w="3159"/>
          </w:cols>
          <w:pgMar w:left="240" w:top="1122"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&amp; MEMBERS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Howard S. Marks</w:t>
      </w:r>
    </w:p>
    <w:p>
      <w:pPr>
        <w:spacing w:after="0" w:line="238" w:lineRule="auto"/>
        <w:rPr>
          <w:sz w:val="20"/>
          <w:szCs w:val="20"/>
          <w:color w:val="auto"/>
        </w:rPr>
      </w:pPr>
      <w:r>
        <w:rPr>
          <w:rFonts w:ascii="Courier New" w:cs="Courier New" w:eastAsia="Courier New" w:hAnsi="Courier New"/>
          <w:sz w:val="18"/>
          <w:szCs w:val="18"/>
          <w:color w:val="auto"/>
        </w:rPr>
        <w:t>Bruce A. Karsh</w:t>
      </w:r>
    </w:p>
    <w:p>
      <w:pPr>
        <w:spacing w:after="0"/>
        <w:rPr>
          <w:sz w:val="20"/>
          <w:szCs w:val="20"/>
          <w:color w:val="auto"/>
        </w:rPr>
      </w:pPr>
      <w:r>
        <w:rPr>
          <w:rFonts w:ascii="Courier New" w:cs="Courier New" w:eastAsia="Courier New" w:hAnsi="Courier New"/>
          <w:sz w:val="18"/>
          <w:szCs w:val="18"/>
          <w:color w:val="auto"/>
        </w:rPr>
        <w:t>Sheldon M. Stone</w:t>
      </w:r>
    </w:p>
    <w:p>
      <w:pPr>
        <w:spacing w:after="0" w:line="237" w:lineRule="auto"/>
        <w:rPr>
          <w:sz w:val="20"/>
          <w:szCs w:val="20"/>
          <w:color w:val="auto"/>
        </w:rPr>
      </w:pPr>
      <w:r>
        <w:rPr>
          <w:rFonts w:ascii="Courier New" w:cs="Courier New" w:eastAsia="Courier New" w:hAnsi="Courier New"/>
          <w:sz w:val="18"/>
          <w:szCs w:val="18"/>
          <w:color w:val="auto"/>
        </w:rPr>
        <w:t>David Richard Masson</w:t>
      </w:r>
    </w:p>
    <w:p>
      <w:pPr>
        <w:spacing w:after="0" w:line="238" w:lineRule="auto"/>
        <w:rPr>
          <w:sz w:val="20"/>
          <w:szCs w:val="20"/>
          <w:color w:val="auto"/>
        </w:rPr>
      </w:pPr>
      <w:r>
        <w:rPr>
          <w:rFonts w:ascii="Courier New" w:cs="Courier New" w:eastAsia="Courier New" w:hAnsi="Courier New"/>
          <w:sz w:val="18"/>
          <w:szCs w:val="18"/>
          <w:color w:val="auto"/>
        </w:rPr>
        <w:t>Larry W. Keele</w:t>
      </w:r>
    </w:p>
    <w:p>
      <w:pPr>
        <w:spacing w:after="0"/>
        <w:rPr>
          <w:sz w:val="20"/>
          <w:szCs w:val="20"/>
          <w:color w:val="auto"/>
        </w:rPr>
      </w:pPr>
      <w:r>
        <w:rPr>
          <w:rFonts w:ascii="Courier New" w:cs="Courier New" w:eastAsia="Courier New" w:hAnsi="Courier New"/>
          <w:sz w:val="18"/>
          <w:szCs w:val="18"/>
          <w:color w:val="auto"/>
        </w:rPr>
        <w:t>Stephen A. Kaplan</w:t>
      </w:r>
    </w:p>
    <w:p>
      <w:pPr>
        <w:spacing w:after="0" w:line="237" w:lineRule="auto"/>
        <w:rPr>
          <w:sz w:val="20"/>
          <w:szCs w:val="20"/>
          <w:color w:val="auto"/>
        </w:rPr>
      </w:pPr>
      <w:r>
        <w:rPr>
          <w:rFonts w:ascii="Courier New" w:cs="Courier New" w:eastAsia="Courier New" w:hAnsi="Courier New"/>
          <w:sz w:val="18"/>
          <w:szCs w:val="18"/>
          <w:color w:val="auto"/>
        </w:rPr>
        <w:t>Russel S. Bernard</w:t>
      </w:r>
    </w:p>
    <w:p>
      <w:pPr>
        <w:spacing w:after="0"/>
        <w:rPr>
          <w:sz w:val="20"/>
          <w:szCs w:val="20"/>
          <w:color w:val="auto"/>
        </w:rPr>
      </w:pPr>
      <w:r>
        <w:rPr>
          <w:rFonts w:ascii="Courier New" w:cs="Courier New" w:eastAsia="Courier New" w:hAnsi="Courier New"/>
          <w:sz w:val="18"/>
          <w:szCs w:val="18"/>
          <w:color w:val="auto"/>
        </w:rPr>
        <w:t>David Kirchheimer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Kenneth Liang</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Principal</w:t>
      </w:r>
    </w:p>
    <w:p>
      <w:pPr>
        <w:spacing w:after="0" w:line="238" w:lineRule="auto"/>
        <w:rPr>
          <w:sz w:val="20"/>
          <w:szCs w:val="20"/>
          <w:color w:val="auto"/>
        </w:rPr>
      </w:pPr>
      <w:r>
        <w:rPr>
          <w:rFonts w:ascii="Courier New" w:cs="Courier New" w:eastAsia="Courier New" w:hAnsi="Courier New"/>
          <w:sz w:val="18"/>
          <w:szCs w:val="18"/>
          <w:color w:val="auto"/>
        </w:rPr>
        <w:t>President and Principal</w:t>
      </w:r>
    </w:p>
    <w:p>
      <w:pPr>
        <w:spacing w:after="0"/>
        <w:rPr>
          <w:sz w:val="20"/>
          <w:szCs w:val="20"/>
          <w:color w:val="auto"/>
        </w:rPr>
      </w:pPr>
      <w:r>
        <w:rPr>
          <w:rFonts w:ascii="Courier New" w:cs="Courier New" w:eastAsia="Courier New" w:hAnsi="Courier New"/>
          <w:sz w:val="18"/>
          <w:szCs w:val="18"/>
          <w:color w:val="auto"/>
        </w:rPr>
        <w:t>Principal</w:t>
      </w:r>
    </w:p>
    <w:p>
      <w:pPr>
        <w:spacing w:after="0" w:line="237" w:lineRule="auto"/>
        <w:rPr>
          <w:sz w:val="20"/>
          <w:szCs w:val="20"/>
          <w:color w:val="auto"/>
        </w:rPr>
      </w:pPr>
      <w:r>
        <w:rPr>
          <w:rFonts w:ascii="Courier New" w:cs="Courier New" w:eastAsia="Courier New" w:hAnsi="Courier New"/>
          <w:sz w:val="18"/>
          <w:szCs w:val="18"/>
          <w:color w:val="auto"/>
        </w:rPr>
        <w:t>Principal</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Principal</w:t>
      </w:r>
    </w:p>
    <w:p>
      <w:pPr>
        <w:spacing w:after="0" w:line="237"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Director and Chief Financial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Administrative Officer</w:t>
      </w:r>
    </w:p>
    <w:p>
      <w:pPr>
        <w:spacing w:after="0" w:line="238" w:lineRule="auto"/>
        <w:rPr>
          <w:sz w:val="20"/>
          <w:szCs w:val="20"/>
          <w:color w:val="auto"/>
        </w:rPr>
      </w:pPr>
      <w:r>
        <w:rPr>
          <w:rFonts w:ascii="Courier New" w:cs="Courier New" w:eastAsia="Courier New" w:hAnsi="Courier New"/>
          <w:sz w:val="18"/>
          <w:szCs w:val="18"/>
          <w:color w:val="auto"/>
        </w:rPr>
        <w:t>Managing Director and General Counsel</w:t>
      </w:r>
    </w:p>
    <w:p>
      <w:pPr>
        <w:spacing w:after="0" w:line="200"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PORTFOLIO MANAGERS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Stephen A. Kaplan</w:t>
      </w:r>
    </w:p>
    <w:p>
      <w:pPr>
        <w:spacing w:after="0" w:line="238" w:lineRule="auto"/>
        <w:rPr>
          <w:sz w:val="20"/>
          <w:szCs w:val="20"/>
          <w:color w:val="auto"/>
        </w:rPr>
      </w:pPr>
      <w:r>
        <w:rPr>
          <w:rFonts w:ascii="Courier New" w:cs="Courier New" w:eastAsia="Courier New" w:hAnsi="Courier New"/>
          <w:sz w:val="18"/>
          <w:szCs w:val="18"/>
          <w:color w:val="auto"/>
        </w:rPr>
        <w:t>Bruce A. Karsh</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Principal</w:t>
      </w:r>
    </w:p>
    <w:p>
      <w:pPr>
        <w:spacing w:after="0" w:line="216" w:lineRule="exact"/>
        <w:rPr>
          <w:sz w:val="20"/>
          <w:szCs w:val="20"/>
          <w:color w:val="auto"/>
        </w:rPr>
      </w:pPr>
    </w:p>
    <w:p>
      <w:pPr>
        <w:sectPr>
          <w:pgSz w:w="11900" w:h="16838" w:orient="portrait"/>
          <w:cols w:equalWidth="0" w:num="2">
            <w:col w:w="3080" w:space="720"/>
            <w:col w:w="6419"/>
          </w:cols>
          <w:pgMar w:left="240" w:top="112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last five years, neither Oaktree, the Funds, nor, to the best of their knowledge, any of their respective executive officers, directors and general partners (i) has been convicted in a criminal proceeding (excluding traffic violations or similar misdemeanors); or (ii) has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Opportunities Fund holds 4,785,492 shares of the Issuer's Common Stock as of the date hereof. The Opportunities Fund used $11,080,043 of funds obtained from its working capital for the acquisition of such shares of Common Stock.</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Oaktree Account holds 148,008 shares of the Issuer's Common Stock as of the date hereof. Such shares were obtained using $342,690 of the working capital of the Oaktree Account.</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Principal Opportunities Fund holds 1,435,800 shares of the Issuer's Common Stock as of the date hereof. Such shares were obtained using $2,576,532 of the working capital of the Principal Opportunities Fund.</w:t>
      </w:r>
    </w:p>
    <w:p>
      <w:pPr>
        <w:sectPr>
          <w:pgSz w:w="11900" w:h="16838" w:orient="portrait"/>
          <w:cols w:equalWidth="0" w:num="1">
            <w:col w:w="10219"/>
          </w:cols>
          <w:pgMar w:left="240" w:top="1122" w:right="1440" w:bottom="1440" w:gutter="0" w:footer="0" w:header="0"/>
          <w:type w:val="continuous"/>
        </w:sectPr>
      </w:pPr>
    </w:p>
    <w:bookmarkStart w:id="6" w:name="page7"/>
    <w:bookmarkEnd w:id="6"/>
    <w:p>
      <w:pPr>
        <w:ind w:left="5800"/>
        <w:spacing w:after="0"/>
        <w:tabs>
          <w:tab w:leader="none" w:pos="6420" w:val="left"/>
          <w:tab w:leader="none" w:pos="6840" w:val="left"/>
          <w:tab w:leader="none" w:pos="7260" w:val="left"/>
          <w:tab w:leader="none" w:pos="7680" w:val="left"/>
        </w:tabs>
        <w:rPr>
          <w:sz w:val="20"/>
          <w:szCs w:val="20"/>
          <w:color w:val="auto"/>
        </w:rPr>
      </w:pPr>
      <w:r>
        <w:rPr>
          <w:rFonts w:ascii="Courier New" w:cs="Courier New" w:eastAsia="Courier New" w:hAnsi="Courier New"/>
          <w:sz w:val="18"/>
          <w:szCs w:val="18"/>
          <w:color w:val="auto"/>
        </w:rPr>
        <w:t>PAGE</w:t>
        <w:tab/>
        <w:t>7</w:t>
      </w:r>
      <w:r>
        <w:rPr>
          <w:sz w:val="20"/>
          <w:szCs w:val="20"/>
          <w:color w:val="auto"/>
        </w:rPr>
        <w:tab/>
      </w:r>
      <w:r>
        <w:rPr>
          <w:rFonts w:ascii="Courier New" w:cs="Courier New" w:eastAsia="Courier New" w:hAnsi="Courier New"/>
          <w:sz w:val="18"/>
          <w:szCs w:val="18"/>
          <w:color w:val="auto"/>
        </w:rPr>
        <w:t>OF</w:t>
        <w:tab/>
        <w:t>10</w:t>
      </w:r>
      <w:r>
        <w:rPr>
          <w:sz w:val="20"/>
          <w:szCs w:val="20"/>
          <w:color w:val="auto"/>
        </w:rPr>
        <w:tab/>
      </w:r>
      <w:r>
        <w:rPr>
          <w:rFonts w:ascii="Courier New" w:cs="Courier New" w:eastAsia="Courier New" w:hAnsi="Courier New"/>
          <w:sz w:val="16"/>
          <w:szCs w:val="16"/>
          <w:color w:val="auto"/>
        </w:rPr>
        <w:t>PAGES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 disclosed in the Issuer's Annual Report on Form-10K for the fiscal year ended on October 31, 2000 ("Form 10-K") filed on January 29, 2001, the Issuer completed the acquisition of Scientific Games Holding Corp. on September 6, 2000. In connection with such transaction, the Issuer refinanced substantially all of its existing debt, including the Issuer's 5-1/2% Convertible Subordinated Debentures (the "Debentures"). As a result, the Opportunities Fund was paid in full with respect to, and thus no longer owns, $33,600,000 aggregate principal amount of Debentures (which were previously convertible into approximately 1,680,000 shares of the Issuer's Common Stock). Further, the Oaktree Account was paid in full with respect to, and thus no longer owns, $1,400,000 aggregate principal amount of Debentures (which were previously convertible into approximately 70,000 shares of the Issuer's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shares of the Issuer's Common Stock described herein were acquired for investment purposes and for the purposes set forth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Oaktree, as the general partner of the Funds, will evaluate the Issuer's businesses and prospects, alternative investment opportunities and all other factors deemed relevant in determining whether additional shares of the Issuer's Common Stock will be acquired by either of the Funds. The investment strategy of the Opportunities Fund is generally to invest in the securities and other obligations of distressed entities. The investment strategy of the Principal Opportunities Fund is generally to invest in entities in which there is a potential to exercise significant influence over such entities. Additional shares of Common Stock may be acquired in the open market or in privately negotiated transactions, or some or all of the shares of the Issuer's Common Stock beneficially owned by Oaktree and the Funds may be sold. Oaktree currently has no agreements, beneficially or otherwise, which would be related to or would result in any of the matters described in Items 4(a)-(j) of Schedule 13D; however, as part of its ongoing review of investment alternatives, Oaktree may consider such matters in the future and, subject to applicable law, may formulate a plan with respect to such matters, and, from time to time, Oaktree may hold discussions with or make formal proposals to management or the Board of Directors of the Issuer, other shareholders of the Issuer or other third parties regarding such matters.</w:t>
      </w: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099" w:firstLine="8"/>
        <w:spacing w:after="0" w:line="268" w:lineRule="auto"/>
        <w:tabs>
          <w:tab w:leader="none" w:pos="4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January 25, 2001, there were then issued and outstanding 40,155,991 shares of Common Stock of the Issuer, as disclosed by the Issuer in its Form</w:t>
      </w:r>
    </w:p>
    <w:p>
      <w:pPr>
        <w:ind w:right="177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10-K. As of the date of this Schedule 13D, the Opportunities Fund owns and has sole power to vote and dispose of 4,785,492 shares of Common Stock of the Issuer (approximately 11.92% of the outstanding shares of the Issuer's Common Stock).</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of the date of this Schedule 13D, the Principal Opportunities Fund owns and has sole power to vote and dispose of 1,435,800 shares of Common Stock of the Issuer (approximately 3.58% of the outstanding shares of the Issuer's Common Stock).</w:t>
      </w:r>
    </w:p>
    <w:p>
      <w:pPr>
        <w:sectPr>
          <w:pgSz w:w="11900" w:h="16838" w:orient="portrait"/>
          <w:cols w:equalWidth="0" w:num="1">
            <w:col w:w="10219"/>
          </w:cols>
          <w:pgMar w:left="240" w:top="1122" w:right="1440" w:bottom="1440" w:gutter="0" w:footer="0" w:header="0"/>
        </w:sectPr>
      </w:pPr>
    </w:p>
    <w:bookmarkStart w:id="7" w:name="page8"/>
    <w:bookmarkEnd w:id="7"/>
    <w:p>
      <w:pPr>
        <w:ind w:left="5600"/>
        <w:spacing w:after="0"/>
        <w:tabs>
          <w:tab w:leader="none" w:pos="6200" w:val="left"/>
          <w:tab w:leader="none" w:pos="6620" w:val="left"/>
          <w:tab w:leader="none" w:pos="7040" w:val="left"/>
          <w:tab w:leader="none" w:pos="7460" w:val="left"/>
        </w:tabs>
        <w:rPr>
          <w:sz w:val="20"/>
          <w:szCs w:val="20"/>
          <w:color w:val="auto"/>
        </w:rPr>
      </w:pPr>
      <w:r>
        <w:rPr>
          <w:rFonts w:ascii="Courier New" w:cs="Courier New" w:eastAsia="Courier New" w:hAnsi="Courier New"/>
          <w:sz w:val="18"/>
          <w:szCs w:val="18"/>
          <w:color w:val="auto"/>
        </w:rPr>
        <w:t>PAGE</w:t>
        <w:tab/>
        <w:t>8</w:t>
      </w:r>
      <w:r>
        <w:rPr>
          <w:sz w:val="20"/>
          <w:szCs w:val="20"/>
          <w:color w:val="auto"/>
        </w:rPr>
        <w:tab/>
      </w:r>
      <w:r>
        <w:rPr>
          <w:rFonts w:ascii="Courier New" w:cs="Courier New" w:eastAsia="Courier New" w:hAnsi="Courier New"/>
          <w:sz w:val="18"/>
          <w:szCs w:val="18"/>
          <w:color w:val="auto"/>
        </w:rPr>
        <w:t>OF</w:t>
        <w:tab/>
        <w:t>10</w:t>
        <w:tab/>
        <w:t>PAGES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As of the date of this Schedule 13D, in its capacity as the general partner of the Funds and manager of the Oaktree Account, may be deemed to be beneficially own 6,369,300 shares of Common Stock of the Issuer (approximately 15.86% of the outstanding shares of the Issuer's Common Stock).</w:t>
      </w:r>
    </w:p>
    <w:p>
      <w:pPr>
        <w:spacing w:after="0" w:line="182" w:lineRule="exact"/>
        <w:rPr>
          <w:sz w:val="20"/>
          <w:szCs w:val="20"/>
          <w:color w:val="auto"/>
        </w:rPr>
      </w:pPr>
    </w:p>
    <w:p>
      <w:pPr>
        <w:ind w:right="1879" w:firstLine="8"/>
        <w:spacing w:after="0" w:line="273"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Oaktree has discretionary authority and control over all of the assets of the Funds and the Oaktree Account pursuant to its status as general partner of the Funds and investment manager of the Oaktree Account, including the power to vote and dispose of the Issuer's Common Stock. Therefore, Oaktree has the power to vote and dispose of 6,369,300 shares of the Issuer's Common Stock.</w:t>
      </w:r>
    </w:p>
    <w:p>
      <w:pPr>
        <w:spacing w:after="0" w:line="184"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60 days, neither the Opportunities Fund, the Oaktree Account nor the Principal Opportunities Fund has purchased any shares of the Issuer's Common Stock.</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Oaktree, as general partner of the Funds and investment manager of the Oaktree Account, may be deemed to beneficially own the shares of the Issuer's Common Stock which were purchased by the Funds and the Oaktree Account. Oaktree and each of the individuals listed in Item 2 disclaims ownership of the shares of the Issuer's Common Stock reported herein and the filing of this Statement shall not be construed as an admission that any such person is the beneficial owner of any securities covered by this statement. Other than these transactions, neither the Funds nor Oaktree and, to the best of their knowledge, none of their respective executive officers, directors or general partners has effected any transaction involving the Issuer's Common Stock during the last 60 days.</w:t>
      </w:r>
    </w:p>
    <w:p>
      <w:pPr>
        <w:spacing w:after="0" w:line="184" w:lineRule="exact"/>
        <w:rPr>
          <w:sz w:val="20"/>
          <w:szCs w:val="20"/>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Oaktree, as general partner of the Funds and manager of the Oaktree Account, receives a management fee for managing the assets of the Funds and the Oaktree Account and has a carried interest in the Funds and earns an incentive fee from the Oaktree Account.</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Except as described above and herein in this Schedule 13D, there are no other contracts, understandings or relationships (legal or otherwise) among the parties named in Item 2 hereto and between such persons and any person with respect to any of the securities of the Issuer currently owned by the Funds.</w:t>
      </w:r>
    </w:p>
    <w:p>
      <w:pPr>
        <w:sectPr>
          <w:pgSz w:w="11900" w:h="16838" w:orient="portrait"/>
          <w:cols w:equalWidth="0" w:num="1">
            <w:col w:w="10219"/>
          </w:cols>
          <w:pgMar w:left="240" w:top="1122" w:right="1440" w:bottom="1440" w:gutter="0" w:footer="0" w:header="0"/>
        </w:sectPr>
      </w:pPr>
    </w:p>
    <w:bookmarkStart w:id="8" w:name="page9"/>
    <w:bookmarkEnd w:id="8"/>
    <w:p>
      <w:pPr>
        <w:jc w:val="right"/>
        <w:ind w:right="2099"/>
        <w:spacing w:after="0"/>
        <w:tabs>
          <w:tab w:leader="none" w:pos="1780" w:val="left"/>
          <w:tab w:leader="none" w:pos="1360" w:val="left"/>
          <w:tab w:leader="none" w:pos="920" w:val="left"/>
          <w:tab w:leader="none" w:pos="500" w:val="left"/>
        </w:tabs>
        <w:rPr>
          <w:sz w:val="20"/>
          <w:szCs w:val="20"/>
          <w:color w:val="auto"/>
        </w:rPr>
      </w:pPr>
      <w:r>
        <w:rPr>
          <w:rFonts w:ascii="Courier New" w:cs="Courier New" w:eastAsia="Courier New" w:hAnsi="Courier New"/>
          <w:sz w:val="18"/>
          <w:szCs w:val="18"/>
          <w:color w:val="auto"/>
        </w:rPr>
        <w:t>PAGE</w:t>
        <w:tab/>
        <w:t>9</w:t>
        <w:tab/>
        <w:t>OF</w:t>
        <w:tab/>
        <w:t>10</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are filed herewith as Exhibits to this Schedule 13D: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1- A written agreement relating to the filing of the joint acquisition statement as required by Rule 13d-1(k)(1) under the Securities Exchange Act of 1934, as amended.</w:t>
      </w:r>
    </w:p>
    <w:p>
      <w:pPr>
        <w:spacing w:after="0" w:line="200" w:lineRule="exact"/>
        <w:rPr>
          <w:sz w:val="20"/>
          <w:szCs w:val="20"/>
          <w:color w:val="auto"/>
        </w:rPr>
      </w:pPr>
    </w:p>
    <w:p>
      <w:pPr>
        <w:sectPr>
          <w:pgSz w:w="11900" w:h="16838" w:orient="portrait"/>
          <w:cols w:equalWidth="0" w:num="2">
            <w:col w:w="1600" w:space="720"/>
            <w:col w:w="7899"/>
          </w:cols>
          <w:pgMar w:left="240" w:top="717" w:right="1440" w:bottom="1440" w:gutter="0" w:footer="0" w:header="0"/>
          <w:type w:val="continuous"/>
        </w:sectPr>
      </w:pPr>
    </w:p>
    <w:p>
      <w:pPr>
        <w:spacing w:after="0" w:line="3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the undersigned certifies that the information set forth in this Schedule 13D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this 6th day of March,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OAKTREE CAPITAL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ind w:left="540"/>
        <w:spacing w:after="0" w:line="237" w:lineRule="auto"/>
        <w:rPr>
          <w:sz w:val="20"/>
          <w:szCs w:val="20"/>
          <w:color w:val="auto"/>
        </w:rPr>
      </w:pPr>
      <w:r>
        <w:rPr>
          <w:rFonts w:ascii="Courier New" w:cs="Courier New" w:eastAsia="Courier New" w:hAnsi="Courier New"/>
          <w:sz w:val="18"/>
          <w:szCs w:val="18"/>
          <w:color w:val="auto"/>
        </w:rPr>
        <w:t>Managing Director and 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OCM OPPORTUNITIES FUND, L.P.</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spacing w:after="0" w:line="3" w:lineRule="exact"/>
        <w:rPr>
          <w:sz w:val="20"/>
          <w:szCs w:val="20"/>
          <w:color w:val="auto"/>
        </w:rPr>
      </w:pPr>
    </w:p>
    <w:p>
      <w:pPr>
        <w:ind w:left="540" w:right="3779"/>
        <w:spacing w:after="0" w:line="236" w:lineRule="auto"/>
        <w:rPr>
          <w:sz w:val="20"/>
          <w:szCs w:val="20"/>
          <w:color w:val="auto"/>
        </w:rPr>
      </w:pPr>
      <w:r>
        <w:rPr>
          <w:rFonts w:ascii="Courier New" w:cs="Courier New" w:eastAsia="Courier New" w:hAnsi="Courier New"/>
          <w:sz w:val="18"/>
          <w:szCs w:val="18"/>
          <w:color w:val="auto"/>
        </w:rPr>
        <w:t>Managing Director and General Counsel of Oaktree Capital Management, LLC, general partner of OCM Opportunities Fund, L.P.</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OCM PRINCIPAL OPPORTUNITIES FUND, L.P.</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spacing w:after="0" w:line="3" w:lineRule="exact"/>
        <w:rPr>
          <w:sz w:val="20"/>
          <w:szCs w:val="20"/>
          <w:color w:val="auto"/>
        </w:rPr>
      </w:pPr>
    </w:p>
    <w:p>
      <w:pPr>
        <w:ind w:left="540" w:right="3779"/>
        <w:spacing w:after="0" w:line="236" w:lineRule="auto"/>
        <w:rPr>
          <w:sz w:val="20"/>
          <w:szCs w:val="20"/>
          <w:color w:val="auto"/>
        </w:rPr>
      </w:pPr>
      <w:r>
        <w:rPr>
          <w:rFonts w:ascii="Courier New" w:cs="Courier New" w:eastAsia="Courier New" w:hAnsi="Courier New"/>
          <w:sz w:val="18"/>
          <w:szCs w:val="18"/>
          <w:color w:val="auto"/>
        </w:rPr>
        <w:t>Managing Director and General Counsel of Oaktree Capital Management, LLC, general partner of OCM Principal Opportunities Fund, L.P.</w:t>
      </w:r>
    </w:p>
    <w:p>
      <w:pPr>
        <w:sectPr>
          <w:pgSz w:w="11900" w:h="16838" w:orient="portrait"/>
          <w:cols w:equalWidth="0" w:num="1">
            <w:col w:w="10219"/>
          </w:cols>
          <w:pgMar w:left="240" w:top="717" w:right="1440" w:bottom="1440" w:gutter="0" w:footer="0" w:header="0"/>
          <w:type w:val="continuous"/>
        </w:sectPr>
      </w:pPr>
    </w:p>
    <w:bookmarkStart w:id="9" w:name="page10"/>
    <w:bookmarkEnd w:id="9"/>
    <w:p>
      <w:pPr>
        <w:ind w:left="65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ind w:left="2860"/>
        <w:spacing w:after="0" w:line="238" w:lineRule="auto"/>
        <w:rPr>
          <w:sz w:val="20"/>
          <w:szCs w:val="20"/>
          <w:color w:val="auto"/>
        </w:rPr>
      </w:pPr>
      <w:r>
        <w:rPr>
          <w:rFonts w:ascii="Courier New" w:cs="Courier New" w:eastAsia="Courier New" w:hAnsi="Courier New"/>
          <w:sz w:val="18"/>
          <w:szCs w:val="18"/>
          <w:color w:val="auto"/>
        </w:rPr>
        <w:t>PURSUANT TO RULE 13d-1(k)(1)</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Each of the undersigned acknowledges and agrees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this 6th day of March,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OAKTREE CAPITAL MANAGEMENT, LLC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ind w:left="540"/>
        <w:spacing w:after="0" w:line="237" w:lineRule="auto"/>
        <w:rPr>
          <w:sz w:val="20"/>
          <w:szCs w:val="20"/>
          <w:color w:val="auto"/>
        </w:rPr>
      </w:pPr>
      <w:r>
        <w:rPr>
          <w:rFonts w:ascii="Courier New" w:cs="Courier New" w:eastAsia="Courier New" w:hAnsi="Courier New"/>
          <w:sz w:val="18"/>
          <w:szCs w:val="18"/>
          <w:color w:val="auto"/>
        </w:rPr>
        <w:t>Managing Director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OCM OPPORTUNITIES FUND, L.P.</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spacing w:after="0" w:line="3" w:lineRule="exact"/>
        <w:rPr>
          <w:sz w:val="20"/>
          <w:szCs w:val="20"/>
          <w:color w:val="auto"/>
        </w:rPr>
      </w:pPr>
    </w:p>
    <w:p>
      <w:pPr>
        <w:ind w:left="540" w:right="3779"/>
        <w:spacing w:after="0" w:line="236" w:lineRule="auto"/>
        <w:rPr>
          <w:sz w:val="20"/>
          <w:szCs w:val="20"/>
          <w:color w:val="auto"/>
        </w:rPr>
      </w:pPr>
      <w:r>
        <w:rPr>
          <w:rFonts w:ascii="Courier New" w:cs="Courier New" w:eastAsia="Courier New" w:hAnsi="Courier New"/>
          <w:sz w:val="18"/>
          <w:szCs w:val="18"/>
          <w:color w:val="auto"/>
        </w:rPr>
        <w:t>Managing Director and General Counsel of Oaktree Capital Management, LLC, general partner of OCM Opportunities Fund,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OCM PRINCIPAL OPPORTUNITIES FUND, L.P.</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Kenneth Liang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Kenneth Liang</w:t>
      </w:r>
    </w:p>
    <w:p>
      <w:pPr>
        <w:spacing w:after="0" w:line="3" w:lineRule="exact"/>
        <w:rPr>
          <w:sz w:val="20"/>
          <w:szCs w:val="20"/>
          <w:color w:val="auto"/>
        </w:rPr>
      </w:pPr>
    </w:p>
    <w:p>
      <w:pPr>
        <w:ind w:left="540" w:right="3779"/>
        <w:spacing w:after="0" w:line="236" w:lineRule="auto"/>
        <w:rPr>
          <w:sz w:val="20"/>
          <w:szCs w:val="20"/>
          <w:color w:val="auto"/>
        </w:rPr>
      </w:pPr>
      <w:r>
        <w:rPr>
          <w:rFonts w:ascii="Courier New" w:cs="Courier New" w:eastAsia="Courier New" w:hAnsi="Courier New"/>
          <w:sz w:val="18"/>
          <w:szCs w:val="18"/>
          <w:color w:val="auto"/>
        </w:rPr>
        <w:t>Managing Director and General Counsel of Oaktree Capital Management, LLC, general partner of OCM Principal Opportunities Fund, L.P.</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213"/>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lvl w:ilvl="1">
      <w:lvlJc w:val="left"/>
      <w:lvlText w:val="%2"/>
      <w:numFmt w:val="decimal"/>
      <w:start w:val="10"/>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2019-12-13T14:43:06Z</dcterms:created>
  <dcterms:modified xsi:type="dcterms:W3CDTF">2019-12-13T14:43:06Z</dcterms:modified>
</cp:coreProperties>
</file>